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BBF" w:rsidRDefault="00894BBF" w:rsidP="00894BBF">
      <w:pPr>
        <w:jc w:val="left"/>
        <w:rPr>
          <w:rFonts w:ascii="黑体" w:eastAsia="黑体" w:hAnsi="黑体" w:hint="eastAsia"/>
          <w:sz w:val="32"/>
          <w:szCs w:val="32"/>
        </w:rPr>
      </w:pPr>
      <w:r>
        <w:rPr>
          <w:rFonts w:ascii="黑体" w:eastAsia="黑体" w:hAnsi="黑体" w:hint="eastAsia"/>
          <w:sz w:val="32"/>
          <w:szCs w:val="32"/>
        </w:rPr>
        <w:t>附件2：</w:t>
      </w:r>
    </w:p>
    <w:p w:rsidR="00894BBF" w:rsidRDefault="00894BBF" w:rsidP="00894BBF">
      <w:pPr>
        <w:jc w:val="left"/>
        <w:rPr>
          <w:rFonts w:ascii="黑体" w:eastAsia="黑体" w:hAnsi="黑体" w:hint="eastAsia"/>
          <w:sz w:val="11"/>
          <w:szCs w:val="11"/>
        </w:rPr>
      </w:pPr>
    </w:p>
    <w:p w:rsidR="00894BBF" w:rsidRDefault="00894BBF" w:rsidP="00894BBF">
      <w:pPr>
        <w:jc w:val="left"/>
        <w:rPr>
          <w:rFonts w:ascii="黑体" w:eastAsia="黑体" w:hAnsi="黑体" w:hint="eastAsia"/>
          <w:sz w:val="11"/>
          <w:szCs w:val="11"/>
        </w:rPr>
      </w:pPr>
    </w:p>
    <w:p w:rsidR="00894BBF" w:rsidRDefault="00894BBF" w:rsidP="00894BBF">
      <w:pPr>
        <w:pStyle w:val="Default"/>
        <w:adjustRightInd/>
        <w:jc w:val="center"/>
        <w:rPr>
          <w:rFonts w:ascii="方正小标宋简体" w:eastAsia="方正小标宋简体" w:hAnsi="仿宋" w:cs="Arial"/>
          <w:color w:val="auto"/>
          <w:sz w:val="44"/>
          <w:szCs w:val="44"/>
        </w:rPr>
      </w:pPr>
      <w:r>
        <w:rPr>
          <w:rFonts w:ascii="方正小标宋简体" w:eastAsia="方正小标宋简体" w:hAnsi="仿宋" w:cs="Arial" w:hint="eastAsia"/>
          <w:color w:val="auto"/>
          <w:sz w:val="44"/>
          <w:szCs w:val="44"/>
        </w:rPr>
        <w:t>内蒙古电力运行技术监督告警制度</w:t>
      </w:r>
    </w:p>
    <w:p w:rsidR="00894BBF" w:rsidRDefault="00894BBF" w:rsidP="00894BBF">
      <w:pPr>
        <w:pStyle w:val="Default"/>
        <w:adjustRightInd/>
        <w:jc w:val="center"/>
        <w:rPr>
          <w:rFonts w:ascii="黑体" w:eastAsia="黑体" w:cs="Arial" w:hint="eastAsia"/>
          <w:color w:val="auto"/>
          <w:sz w:val="32"/>
          <w:szCs w:val="30"/>
        </w:rPr>
      </w:pPr>
    </w:p>
    <w:p w:rsidR="00894BBF" w:rsidRDefault="00894BBF" w:rsidP="00894BBF">
      <w:pPr>
        <w:pStyle w:val="Default"/>
        <w:adjustRightInd/>
        <w:jc w:val="center"/>
        <w:rPr>
          <w:rFonts w:ascii="黑体" w:eastAsia="黑体" w:hAnsi="黑体" w:cs="Arial" w:hint="eastAsia"/>
          <w:color w:val="auto"/>
          <w:sz w:val="32"/>
          <w:szCs w:val="32"/>
        </w:rPr>
      </w:pPr>
      <w:r>
        <w:rPr>
          <w:rFonts w:ascii="黑体" w:eastAsia="黑体" w:hAnsi="黑体" w:cs="Arial" w:hint="eastAsia"/>
          <w:color w:val="auto"/>
          <w:sz w:val="32"/>
          <w:szCs w:val="32"/>
        </w:rPr>
        <w:t>第一章  总  则</w:t>
      </w:r>
    </w:p>
    <w:p w:rsidR="00894BBF" w:rsidRDefault="00894BBF" w:rsidP="00894BBF">
      <w:pPr>
        <w:pStyle w:val="Default"/>
        <w:adjustRightInd/>
        <w:jc w:val="center"/>
        <w:rPr>
          <w:rFonts w:ascii="仿宋" w:eastAsia="仿宋" w:hAnsi="仿宋" w:cs="Arial" w:hint="eastAsia"/>
          <w:color w:val="auto"/>
          <w:sz w:val="32"/>
          <w:szCs w:val="32"/>
        </w:rPr>
      </w:pPr>
      <w:r>
        <w:rPr>
          <w:rFonts w:ascii="仿宋" w:eastAsia="仿宋" w:hAnsi="仿宋" w:cs="Arial" w:hint="eastAsia"/>
          <w:color w:val="auto"/>
          <w:sz w:val="32"/>
          <w:szCs w:val="32"/>
        </w:rPr>
        <w:t xml:space="preserve"> </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第一条  为加强全过程技术监督，强化对发供用电企业的动态管理，确保其安全、可靠、经济、环保运行，依据《电力技术监督导则》、《内蒙古电力运行技术监督管理办法》及相关技术监督制度，并结合内蒙古电力运行实际情况，制定本制度。</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第二条  内蒙古电力技术监督检测中心对重要技术监督问题，及时向责任单位发出“技术监督告警通知单”，督促其整改。</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第三条  技术监督告警制度根据问题的严重程度，分为二级告警和一级告警。同一问题连续两次二级告警未消除升为一级告警。二级告警期为三个月，一级告警期为一个月。</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第四条  本制度适用于</w:t>
      </w:r>
      <w:r>
        <w:rPr>
          <w:rFonts w:ascii="仿宋" w:eastAsia="仿宋" w:hAnsi="仿宋" w:hint="eastAsia"/>
          <w:color w:val="auto"/>
          <w:sz w:val="32"/>
          <w:szCs w:val="32"/>
        </w:rPr>
        <w:t>内蒙古区域内的供电企业和已投入运行的发电企业、重要电力用户</w:t>
      </w:r>
      <w:r>
        <w:rPr>
          <w:rFonts w:ascii="仿宋" w:eastAsia="仿宋" w:hAnsi="仿宋" w:cs="Arial" w:hint="eastAsia"/>
          <w:color w:val="auto"/>
          <w:sz w:val="32"/>
          <w:szCs w:val="32"/>
        </w:rPr>
        <w:t>，其它企业可参照执行。</w:t>
      </w:r>
    </w:p>
    <w:p w:rsidR="00894BBF" w:rsidRDefault="00894BBF" w:rsidP="00894BBF">
      <w:pPr>
        <w:pStyle w:val="Default"/>
        <w:adjustRightInd/>
        <w:jc w:val="center"/>
        <w:rPr>
          <w:rFonts w:ascii="仿宋" w:eastAsia="仿宋" w:hAnsi="仿宋" w:cs="Arial" w:hint="eastAsia"/>
          <w:color w:val="auto"/>
          <w:sz w:val="32"/>
          <w:szCs w:val="32"/>
        </w:rPr>
      </w:pPr>
    </w:p>
    <w:p w:rsidR="00894BBF" w:rsidRDefault="00894BBF" w:rsidP="00894BBF">
      <w:pPr>
        <w:pStyle w:val="Default"/>
        <w:adjustRightInd/>
        <w:jc w:val="center"/>
        <w:rPr>
          <w:rFonts w:ascii="黑体" w:eastAsia="黑体" w:hAnsi="黑体" w:cs="Arial" w:hint="eastAsia"/>
          <w:color w:val="auto"/>
          <w:sz w:val="32"/>
          <w:szCs w:val="32"/>
        </w:rPr>
      </w:pPr>
      <w:r>
        <w:rPr>
          <w:rFonts w:ascii="黑体" w:eastAsia="黑体" w:hAnsi="黑体" w:cs="Arial" w:hint="eastAsia"/>
          <w:color w:val="auto"/>
          <w:sz w:val="32"/>
          <w:szCs w:val="32"/>
        </w:rPr>
        <w:t>第二章  技术监督告警内容</w:t>
      </w:r>
    </w:p>
    <w:p w:rsidR="00894BBF" w:rsidRDefault="00894BBF" w:rsidP="00894BBF">
      <w:pPr>
        <w:pStyle w:val="Default"/>
        <w:adjustRightInd/>
        <w:jc w:val="center"/>
        <w:rPr>
          <w:rFonts w:ascii="仿宋" w:eastAsia="仿宋" w:hAnsi="仿宋" w:cs="Arial" w:hint="eastAsia"/>
          <w:color w:val="auto"/>
          <w:sz w:val="32"/>
          <w:szCs w:val="32"/>
        </w:rPr>
      </w:pPr>
      <w:r>
        <w:rPr>
          <w:rFonts w:ascii="仿宋" w:eastAsia="仿宋" w:hAnsi="仿宋" w:cs="Arial" w:hint="eastAsia"/>
          <w:color w:val="auto"/>
          <w:sz w:val="32"/>
          <w:szCs w:val="32"/>
        </w:rPr>
        <w:t xml:space="preserve"> </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lastRenderedPageBreak/>
        <w:t>第五条  当发生下列情况时，发出“技术监督告警通知单”。</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（一）技术监督范围内的设备已处于严重异常状态，但仍在运行。</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（二）技术监督范围内的设备存在安全隐患，经技术监督指出后，未及时进行整改。</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（三）设备的运行数据、技术数据、试验数据有弄虚作假的行为；技术监督月报、季报、技术报告、记录档案或工作总结严重失实。</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（四）设备检修及技改中存在重要检修项目、试验项目漏项。</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（五）连续三个月未按要求上报技术监督月度报表、连续两个季度未按要求上报技术监督季度报表。</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（六）技术监督设备发生异常情况，未按技术监督制度规定按时上报。</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（七）企业有关负责人带头违反技术监督工作制度。</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（八）技术监督体系不能正常运行。</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（九）技术监督专业人员未按要求持证上岗。</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（十）发供用电企业未参加全区技术监督工作会或年度专业技术监督会。</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（十一）电气设备性能监督告警项目</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1.二级告警</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lastRenderedPageBreak/>
        <w:t>以下设备出现严重缺陷未及时上报内蒙古电力技术监督检测中心，未采取任何措施消除缺陷的。</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（1）110kV及以上至500kV（不含500kV）电压等级的电抗器、组合电器、开关、互感器、避雷器、耦合电容器、送电线路、接地装置、穿墙套管、绝缘子和电力电缆。</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（2）110kV及以上电压等级、180MVA以下容量变压器。</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（3）50MW及以上至200MW(不含200MW)容量的发电机。</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存在以下问题或措施执行不到位的。</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（4）电力设备交接试验关键项目、技术要求未严格执行《电气装置安装工程电气设备交接试验标准》（GB 50150）要求，存在试验缺项漏项、降低技术要求的问题。</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5）发电企业电力设备预防性试验关键项目、周期及技术要求未严格执行《电力设备预防性试验规程》（DL/T596）或华北电网有限公司《电力设备交接和预防性试验规程》要求，存在试验超周期、缺项漏项、降低标准的问题。</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6）电网企业对于已经开展状态检修的电力设备，其关键巡检、检查和试验的项目、周期和技术要求，未严格执行所属电网《输变电设备状态检修试验规程》要求，巡检、检查、试验存在超周期、缺项漏项、降低技术要求的问题；对于未开展状态检修的电力设备，其关键试验项目、周期及技术要求未严格执行所属电网《电力设备预防性试验规程》要求，存在试验超周期、缺项漏项、降低技术要求的问题。</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lastRenderedPageBreak/>
        <w:t>（7）在完善电力生产事故预防措施，提高电力生产整体安全水平，有效防止电力生产事故发生的过程中，存在未严格执行《防止电力生产事故的二十五项重点要求》的问题。</w:t>
      </w:r>
    </w:p>
    <w:p w:rsidR="00894BBF" w:rsidRDefault="00894BBF" w:rsidP="00894BBF">
      <w:pPr>
        <w:pStyle w:val="Default"/>
        <w:adjustRightInd/>
        <w:ind w:firstLineChars="200" w:firstLine="640"/>
        <w:jc w:val="both"/>
        <w:rPr>
          <w:rFonts w:ascii="仿宋" w:eastAsia="仿宋" w:hAnsi="仿宋" w:hint="eastAsia"/>
          <w:color w:val="auto"/>
          <w:sz w:val="32"/>
          <w:szCs w:val="32"/>
        </w:rPr>
      </w:pPr>
      <w:r>
        <w:rPr>
          <w:rFonts w:ascii="仿宋" w:eastAsia="仿宋" w:hAnsi="仿宋" w:hint="eastAsia"/>
          <w:color w:val="auto"/>
          <w:sz w:val="32"/>
          <w:szCs w:val="32"/>
        </w:rPr>
        <w:t>2.一级告警</w:t>
      </w:r>
    </w:p>
    <w:p w:rsidR="00894BBF" w:rsidRDefault="00894BBF" w:rsidP="00894BBF">
      <w:pPr>
        <w:pStyle w:val="Default"/>
        <w:adjustRightInd/>
        <w:ind w:firstLineChars="200" w:firstLine="640"/>
        <w:jc w:val="both"/>
        <w:rPr>
          <w:rFonts w:ascii="仿宋" w:eastAsia="仿宋" w:hAnsi="仿宋" w:hint="eastAsia"/>
          <w:color w:val="auto"/>
          <w:sz w:val="32"/>
          <w:szCs w:val="32"/>
        </w:rPr>
      </w:pPr>
      <w:r>
        <w:rPr>
          <w:rFonts w:ascii="仿宋" w:eastAsia="仿宋" w:hAnsi="仿宋" w:hint="eastAsia"/>
          <w:color w:val="auto"/>
          <w:sz w:val="32"/>
          <w:szCs w:val="32"/>
        </w:rPr>
        <w:t>以下设备出现严重缺陷未及时上报</w:t>
      </w:r>
      <w:r>
        <w:rPr>
          <w:rFonts w:ascii="仿宋" w:eastAsia="仿宋" w:hAnsi="仿宋" w:cs="Arial" w:hint="eastAsia"/>
          <w:color w:val="auto"/>
          <w:sz w:val="32"/>
          <w:szCs w:val="32"/>
        </w:rPr>
        <w:t>内蒙古电力技术监督检测中心</w:t>
      </w:r>
      <w:r>
        <w:rPr>
          <w:rFonts w:ascii="仿宋" w:eastAsia="仿宋" w:hAnsi="仿宋" w:hint="eastAsia"/>
          <w:color w:val="auto"/>
          <w:sz w:val="32"/>
          <w:szCs w:val="32"/>
        </w:rPr>
        <w:t>，未采取有效措施消除缺陷的。</w:t>
      </w:r>
    </w:p>
    <w:p w:rsidR="00894BBF" w:rsidRDefault="00894BBF" w:rsidP="00894BBF">
      <w:pPr>
        <w:pStyle w:val="Default"/>
        <w:adjustRightInd/>
        <w:ind w:firstLineChars="200" w:firstLine="640"/>
        <w:jc w:val="both"/>
        <w:rPr>
          <w:rFonts w:ascii="仿宋" w:eastAsia="仿宋" w:hAnsi="仿宋" w:hint="eastAsia"/>
          <w:color w:val="auto"/>
          <w:sz w:val="32"/>
          <w:szCs w:val="32"/>
        </w:rPr>
      </w:pPr>
      <w:r>
        <w:rPr>
          <w:rFonts w:ascii="仿宋" w:eastAsia="仿宋" w:hAnsi="仿宋" w:hint="eastAsia"/>
          <w:color w:val="auto"/>
          <w:sz w:val="32"/>
          <w:szCs w:val="32"/>
        </w:rPr>
        <w:t>（1）500kV电压等级的电抗器、开关、互感器、避雷器、耦合电容器、送电线路、接地装置、绝缘子。</w:t>
      </w:r>
    </w:p>
    <w:p w:rsidR="00894BBF" w:rsidRDefault="00894BBF" w:rsidP="00894BBF">
      <w:pPr>
        <w:pStyle w:val="Default"/>
        <w:adjustRightInd/>
        <w:ind w:firstLineChars="200" w:firstLine="640"/>
        <w:jc w:val="both"/>
        <w:rPr>
          <w:rFonts w:ascii="仿宋" w:eastAsia="仿宋" w:hAnsi="仿宋" w:hint="eastAsia"/>
          <w:color w:val="auto"/>
          <w:sz w:val="32"/>
          <w:szCs w:val="32"/>
        </w:rPr>
      </w:pPr>
      <w:r>
        <w:rPr>
          <w:rFonts w:ascii="仿宋" w:eastAsia="仿宋" w:hAnsi="仿宋" w:hint="eastAsia"/>
          <w:color w:val="auto"/>
          <w:sz w:val="32"/>
          <w:szCs w:val="32"/>
        </w:rPr>
        <w:t>（2）180MVA及以上容量变压器。</w:t>
      </w:r>
    </w:p>
    <w:p w:rsidR="00894BBF" w:rsidRDefault="00894BBF" w:rsidP="00894BBF">
      <w:pPr>
        <w:pStyle w:val="Default"/>
        <w:adjustRightInd/>
        <w:ind w:firstLineChars="200" w:firstLine="640"/>
        <w:jc w:val="both"/>
        <w:rPr>
          <w:rFonts w:ascii="仿宋" w:eastAsia="仿宋" w:hAnsi="仿宋" w:hint="eastAsia"/>
          <w:color w:val="auto"/>
          <w:sz w:val="32"/>
          <w:szCs w:val="32"/>
        </w:rPr>
      </w:pPr>
      <w:r>
        <w:rPr>
          <w:rFonts w:ascii="仿宋" w:eastAsia="仿宋" w:hAnsi="仿宋" w:hint="eastAsia"/>
          <w:color w:val="auto"/>
          <w:sz w:val="32"/>
          <w:szCs w:val="32"/>
        </w:rPr>
        <w:t>（3）200MW及以上容量的发电机。</w:t>
      </w:r>
    </w:p>
    <w:p w:rsidR="00894BBF" w:rsidRDefault="00894BBF" w:rsidP="00894BBF">
      <w:pPr>
        <w:pStyle w:val="Default"/>
        <w:adjustRightInd/>
        <w:ind w:firstLineChars="200" w:firstLine="640"/>
        <w:jc w:val="both"/>
        <w:rPr>
          <w:rFonts w:ascii="仿宋" w:eastAsia="仿宋" w:hAnsi="仿宋" w:hint="eastAsia"/>
          <w:color w:val="auto"/>
          <w:sz w:val="32"/>
          <w:szCs w:val="32"/>
        </w:rPr>
      </w:pPr>
      <w:r>
        <w:rPr>
          <w:rFonts w:ascii="仿宋" w:eastAsia="仿宋" w:hAnsi="仿宋" w:hint="eastAsia"/>
          <w:color w:val="auto"/>
          <w:sz w:val="32"/>
          <w:szCs w:val="32"/>
        </w:rPr>
        <w:t>（4）200MW及以上发电机封闭母线及发电机出口互感器、避雷器及负荷开关。</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 xml:space="preserve">（十二）电测监督告警项目 </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1.二级告警</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（1）用于贸易结算的电能计量装置中电压互感器二次回路电压降、互感器二次回路负荷不符合规定要求。</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（2）电能计量装置接线不合理，未使用专用互感器或专用二次绕组。</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（3）电能表、互感器、变送器、交流采样装置未按规定进行检测。</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2.一级告警</w:t>
      </w:r>
    </w:p>
    <w:p w:rsidR="00894BBF" w:rsidRDefault="00894BBF" w:rsidP="00894BBF">
      <w:pPr>
        <w:pStyle w:val="Default"/>
        <w:adjustRightInd/>
        <w:ind w:firstLineChars="200" w:firstLine="640"/>
        <w:jc w:val="both"/>
        <w:rPr>
          <w:rFonts w:ascii="仿宋" w:eastAsia="仿宋" w:hAnsi="仿宋" w:cs="Arial" w:hint="eastAsia"/>
          <w:strike/>
          <w:color w:val="auto"/>
          <w:sz w:val="32"/>
          <w:szCs w:val="32"/>
        </w:rPr>
      </w:pPr>
      <w:r>
        <w:rPr>
          <w:rFonts w:ascii="仿宋" w:eastAsia="仿宋" w:hAnsi="仿宋" w:cs="Arial" w:hint="eastAsia"/>
          <w:color w:val="auto"/>
          <w:sz w:val="32"/>
          <w:szCs w:val="32"/>
        </w:rPr>
        <w:t>（1）用于贸易结算的电能计量装置的电能表、互感器</w:t>
      </w:r>
      <w:r>
        <w:rPr>
          <w:rFonts w:ascii="仿宋" w:eastAsia="仿宋" w:hAnsi="仿宋" w:cs="Arial" w:hint="eastAsia"/>
          <w:color w:val="auto"/>
          <w:sz w:val="32"/>
          <w:szCs w:val="32"/>
        </w:rPr>
        <w:lastRenderedPageBreak/>
        <w:t>配置及误差不满足规程要求。</w:t>
      </w:r>
    </w:p>
    <w:p w:rsidR="00894BBF" w:rsidRDefault="00894BBF" w:rsidP="00894BBF">
      <w:pPr>
        <w:pStyle w:val="Default"/>
        <w:adjustRightInd/>
        <w:ind w:firstLineChars="200" w:firstLine="640"/>
        <w:jc w:val="both"/>
        <w:rPr>
          <w:rFonts w:ascii="仿宋" w:eastAsia="仿宋" w:hAnsi="仿宋" w:cs="Arial" w:hint="eastAsia"/>
          <w:strike/>
          <w:color w:val="auto"/>
          <w:sz w:val="32"/>
          <w:szCs w:val="32"/>
        </w:rPr>
      </w:pPr>
      <w:r>
        <w:rPr>
          <w:rFonts w:ascii="仿宋" w:eastAsia="仿宋" w:hAnsi="仿宋" w:cs="Arial" w:hint="eastAsia"/>
          <w:color w:val="auto"/>
          <w:sz w:val="32"/>
          <w:szCs w:val="32"/>
        </w:rPr>
        <w:t>（2）未经关口电能计量装置的技术管理机构批准，擅自拆动电能计量装置铅封；不配合电网企业对本企业贸易结算用电能计量装置的现场检验、更换和故障处理。</w:t>
      </w:r>
    </w:p>
    <w:p w:rsidR="00894BBF" w:rsidRDefault="00894BBF" w:rsidP="00894BBF">
      <w:pPr>
        <w:pStyle w:val="Default"/>
        <w:adjustRightInd/>
        <w:ind w:firstLineChars="200" w:firstLine="640"/>
        <w:jc w:val="both"/>
        <w:rPr>
          <w:rFonts w:ascii="仿宋" w:eastAsia="仿宋" w:hAnsi="仿宋" w:cs="Arial" w:hint="eastAsia"/>
          <w:strike/>
          <w:color w:val="auto"/>
          <w:sz w:val="32"/>
          <w:szCs w:val="32"/>
        </w:rPr>
      </w:pPr>
      <w:r>
        <w:rPr>
          <w:rFonts w:ascii="仿宋" w:eastAsia="仿宋" w:hAnsi="仿宋" w:cs="Arial" w:hint="eastAsia"/>
          <w:color w:val="auto"/>
          <w:sz w:val="32"/>
          <w:szCs w:val="32"/>
        </w:rPr>
        <w:t>（3）未经关口电能计量装置的技术管理机构批准，更换电能计量装置。</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（十三）电能质量监督告警项目</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1.二级告警</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（1）500kV电压等级未按调度下达的季电压曲线进行调压，造成母线</w:t>
      </w:r>
      <w:proofErr w:type="gramStart"/>
      <w:r>
        <w:rPr>
          <w:rFonts w:ascii="仿宋" w:eastAsia="仿宋" w:hAnsi="仿宋" w:cs="Arial" w:hint="eastAsia"/>
          <w:color w:val="auto"/>
          <w:sz w:val="32"/>
          <w:szCs w:val="32"/>
        </w:rPr>
        <w:t>电压越限情况</w:t>
      </w:r>
      <w:proofErr w:type="gramEnd"/>
      <w:r>
        <w:rPr>
          <w:rFonts w:ascii="仿宋" w:eastAsia="仿宋" w:hAnsi="仿宋" w:cs="Arial" w:hint="eastAsia"/>
          <w:color w:val="auto"/>
          <w:sz w:val="32"/>
          <w:szCs w:val="32"/>
        </w:rPr>
        <w:t>；220kV及以下电压等级未按《电压质量和无功电力管理规定》的要求进行电压调整，造成母线</w:t>
      </w:r>
      <w:proofErr w:type="gramStart"/>
      <w:r>
        <w:rPr>
          <w:rFonts w:ascii="仿宋" w:eastAsia="仿宋" w:hAnsi="仿宋" w:cs="Arial" w:hint="eastAsia"/>
          <w:color w:val="auto"/>
          <w:sz w:val="32"/>
          <w:szCs w:val="32"/>
        </w:rPr>
        <w:t>电压越限情况</w:t>
      </w:r>
      <w:proofErr w:type="gramEnd"/>
      <w:r>
        <w:rPr>
          <w:rFonts w:ascii="仿宋" w:eastAsia="仿宋" w:hAnsi="仿宋" w:cs="Arial" w:hint="eastAsia"/>
          <w:color w:val="auto"/>
          <w:sz w:val="32"/>
          <w:szCs w:val="32"/>
        </w:rPr>
        <w:t>。</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（2）运行中的无功补偿设备未经调度部门认可随意停运。</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（3）现场低压减负荷装置未按调度部门要求执行最新定值整定值。</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2.一级告警</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（1）发电企业拒绝执行调度调整发电机无功出力命令，或随意调整发电机无功出力，造成电网电压异常波动。</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（2）500kV电压监视控制点电压偏差超出±4%，220kV电压监视控制点电压偏差超出±4%。</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（3）未经调度部门许可，擅自退出低压减负荷装置或</w:t>
      </w:r>
      <w:r>
        <w:rPr>
          <w:rFonts w:ascii="仿宋" w:eastAsia="仿宋" w:hAnsi="仿宋" w:cs="Arial" w:hint="eastAsia"/>
          <w:color w:val="auto"/>
          <w:sz w:val="32"/>
          <w:szCs w:val="32"/>
        </w:rPr>
        <w:lastRenderedPageBreak/>
        <w:t>低压解列装置。</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（十四）继电保护及自动装置告警项目</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1.二级告警</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（1）在检查过程中，发现继电保护及安全自动装置以及相关二次回路存在较严重的安全隐患。</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（2）继电保护装置不正确动作，未认真分析原因，未采取有效措施。</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（3）继电保护及安全自动装置在运行周期内出现异常或发生不正确动作。</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（4）继电保护及安全自动装置擅自退出运行。</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（5）220kV及以上保护年正确动作率低于97％。</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（6）继电保护及安全自动装置的校验超周期。</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（7）未执行继电保护“反事故措施”。</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（8）发电机组（A修、B修后）启动时未进行同期定相试验、假同期试验。</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（9）保护装置未按最新定值进行整定。</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（10）软件版本未按要求及时升级或同一线路两侧保护版本不一致。</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（11）运行中的蓄电池组端电压、电解液密度偏差严重超标、温度异常。</w:t>
      </w:r>
    </w:p>
    <w:p w:rsidR="00894BBF" w:rsidRDefault="00894BBF" w:rsidP="00894BBF">
      <w:pPr>
        <w:pStyle w:val="Default"/>
        <w:adjustRightInd/>
        <w:ind w:firstLineChars="200" w:firstLine="640"/>
        <w:jc w:val="both"/>
        <w:rPr>
          <w:rFonts w:ascii="仿宋" w:eastAsia="仿宋" w:hAnsi="仿宋" w:cs="Arial" w:hint="eastAsia"/>
          <w:strike/>
          <w:color w:val="auto"/>
          <w:sz w:val="32"/>
          <w:szCs w:val="32"/>
        </w:rPr>
      </w:pPr>
      <w:r>
        <w:rPr>
          <w:rFonts w:ascii="仿宋" w:eastAsia="仿宋" w:hAnsi="仿宋" w:cs="Arial" w:hint="eastAsia"/>
          <w:color w:val="auto"/>
          <w:sz w:val="32"/>
          <w:szCs w:val="32"/>
        </w:rPr>
        <w:t>（12）未开展对所辖设备的整定值进行全面复算和校核工作。</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lastRenderedPageBreak/>
        <w:t>2.一级告警</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（1）由于继电保护不正确动作，导致系统或机组间振荡。</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（2）继电保护或自动装置不正确动作致使越级跳闸。</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（3）继电保护及安全自动装置不正确动作，且造成了较大的影响。</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（4）全年220kV及以上系统继电保护正确动作率低于95％。</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（5）继电保护及安全自动装置整定错误。</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（6）擅自退出220kV及以上运行线路及母线的主保护。</w:t>
      </w:r>
    </w:p>
    <w:p w:rsidR="00894BBF" w:rsidRDefault="00894BBF" w:rsidP="00894BBF">
      <w:pPr>
        <w:pStyle w:val="a3"/>
        <w:ind w:firstLine="640"/>
        <w:rPr>
          <w:rFonts w:ascii="仿宋" w:eastAsia="仿宋" w:hAnsi="仿宋" w:hint="eastAsia"/>
          <w:strike/>
          <w:sz w:val="32"/>
          <w:szCs w:val="32"/>
        </w:rPr>
      </w:pPr>
      <w:r>
        <w:rPr>
          <w:rFonts w:ascii="仿宋" w:eastAsia="仿宋" w:hAnsi="仿宋" w:cs="Arial" w:hint="eastAsia"/>
          <w:kern w:val="0"/>
          <w:sz w:val="32"/>
          <w:szCs w:val="32"/>
        </w:rPr>
        <w:t>（7）蓄电池外壳破损电解液外漏，未及时处理。</w:t>
      </w:r>
    </w:p>
    <w:p w:rsidR="00894BBF" w:rsidRDefault="00894BBF" w:rsidP="00894BBF">
      <w:pPr>
        <w:pStyle w:val="Default"/>
        <w:adjustRightInd/>
        <w:ind w:firstLineChars="200" w:firstLine="640"/>
        <w:jc w:val="both"/>
        <w:rPr>
          <w:rFonts w:ascii="仿宋" w:eastAsia="仿宋" w:hAnsi="仿宋" w:cs="Arial" w:hint="eastAsia"/>
          <w:strike/>
          <w:color w:val="auto"/>
          <w:sz w:val="32"/>
          <w:szCs w:val="32"/>
        </w:rPr>
      </w:pPr>
      <w:r>
        <w:rPr>
          <w:rFonts w:ascii="仿宋" w:eastAsia="仿宋" w:hAnsi="仿宋" w:cs="Arial" w:hint="eastAsia"/>
          <w:color w:val="auto"/>
          <w:sz w:val="32"/>
          <w:szCs w:val="32"/>
        </w:rPr>
        <w:t>（8）运行中的蓄电池组容量低于80%，未及时处理。</w:t>
      </w:r>
    </w:p>
    <w:p w:rsidR="00894BBF" w:rsidRDefault="00894BBF" w:rsidP="00894BBF">
      <w:pPr>
        <w:autoSpaceDE w:val="0"/>
        <w:autoSpaceDN w:val="0"/>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（十五）励磁系统告警项目</w:t>
      </w:r>
    </w:p>
    <w:p w:rsidR="00894BBF" w:rsidRDefault="00894BBF" w:rsidP="00894BBF">
      <w:pPr>
        <w:autoSpaceDE w:val="0"/>
        <w:autoSpaceDN w:val="0"/>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1.二级告警</w:t>
      </w:r>
    </w:p>
    <w:p w:rsidR="00894BBF" w:rsidRDefault="00894BBF" w:rsidP="00894BBF">
      <w:pPr>
        <w:autoSpaceDE w:val="0"/>
        <w:autoSpaceDN w:val="0"/>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（1）出现励磁系统导致的非计划停运。</w:t>
      </w:r>
    </w:p>
    <w:p w:rsidR="00894BBF" w:rsidRDefault="00894BBF" w:rsidP="00894BBF">
      <w:pPr>
        <w:autoSpaceDE w:val="0"/>
        <w:autoSpaceDN w:val="0"/>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（2）励磁系统涉及直接跳闸的中间继电器动作功率不满足反</w:t>
      </w:r>
      <w:proofErr w:type="gramStart"/>
      <w:r>
        <w:rPr>
          <w:rFonts w:ascii="仿宋" w:eastAsia="仿宋" w:hAnsi="仿宋" w:cs="Arial" w:hint="eastAsia"/>
          <w:kern w:val="0"/>
          <w:sz w:val="32"/>
          <w:szCs w:val="32"/>
        </w:rPr>
        <w:t>措</w:t>
      </w:r>
      <w:proofErr w:type="gramEnd"/>
      <w:r>
        <w:rPr>
          <w:rFonts w:ascii="仿宋" w:eastAsia="仿宋" w:hAnsi="仿宋" w:cs="Arial" w:hint="eastAsia"/>
          <w:kern w:val="0"/>
          <w:sz w:val="32"/>
          <w:szCs w:val="32"/>
        </w:rPr>
        <w:t>要求。</w:t>
      </w:r>
    </w:p>
    <w:p w:rsidR="00894BBF" w:rsidRDefault="00894BBF" w:rsidP="00894BBF">
      <w:pPr>
        <w:autoSpaceDE w:val="0"/>
        <w:autoSpaceDN w:val="0"/>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（3）发电机大修后机组启动时未按规程要求的项目进行励磁调节器试验，存在漏项、缺项。</w:t>
      </w:r>
    </w:p>
    <w:p w:rsidR="00894BBF" w:rsidRDefault="00894BBF" w:rsidP="00894BBF">
      <w:pPr>
        <w:autoSpaceDE w:val="0"/>
        <w:autoSpaceDN w:val="0"/>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（4）励磁整流</w:t>
      </w:r>
      <w:proofErr w:type="gramStart"/>
      <w:r>
        <w:rPr>
          <w:rFonts w:ascii="仿宋" w:eastAsia="仿宋" w:hAnsi="仿宋" w:cs="Arial" w:hint="eastAsia"/>
          <w:kern w:val="0"/>
          <w:sz w:val="32"/>
          <w:szCs w:val="32"/>
        </w:rPr>
        <w:t>柜均流系数</w:t>
      </w:r>
      <w:proofErr w:type="gramEnd"/>
      <w:r>
        <w:rPr>
          <w:rFonts w:ascii="仿宋" w:eastAsia="仿宋" w:hAnsi="仿宋" w:cs="Arial" w:hint="eastAsia"/>
          <w:kern w:val="0"/>
          <w:sz w:val="32"/>
          <w:szCs w:val="32"/>
        </w:rPr>
        <w:t>不满足规程要求，长期未整改。</w:t>
      </w:r>
    </w:p>
    <w:p w:rsidR="00894BBF" w:rsidRDefault="00894BBF" w:rsidP="00894BBF">
      <w:pPr>
        <w:autoSpaceDE w:val="0"/>
        <w:autoSpaceDN w:val="0"/>
        <w:ind w:firstLineChars="200" w:firstLine="640"/>
        <w:rPr>
          <w:rFonts w:ascii="仿宋" w:eastAsia="仿宋" w:hAnsi="仿宋" w:cs="宋体" w:hint="eastAsia"/>
          <w:kern w:val="0"/>
          <w:sz w:val="32"/>
          <w:szCs w:val="32"/>
        </w:rPr>
      </w:pPr>
      <w:r>
        <w:rPr>
          <w:rFonts w:ascii="仿宋" w:eastAsia="仿宋" w:hAnsi="仿宋" w:cs="Arial" w:hint="eastAsia"/>
          <w:kern w:val="0"/>
          <w:sz w:val="32"/>
          <w:szCs w:val="32"/>
        </w:rPr>
        <w:t>（5）未定期</w:t>
      </w:r>
      <w:proofErr w:type="gramStart"/>
      <w:r>
        <w:rPr>
          <w:rFonts w:ascii="仿宋" w:eastAsia="仿宋" w:hAnsi="仿宋" w:cs="Arial" w:hint="eastAsia"/>
          <w:kern w:val="0"/>
          <w:sz w:val="32"/>
          <w:szCs w:val="32"/>
        </w:rPr>
        <w:t>校核发变组保护</w:t>
      </w:r>
      <w:proofErr w:type="gramEnd"/>
      <w:r>
        <w:rPr>
          <w:rFonts w:ascii="仿宋" w:eastAsia="仿宋" w:hAnsi="仿宋" w:cs="Arial" w:hint="eastAsia"/>
          <w:kern w:val="0"/>
          <w:sz w:val="32"/>
          <w:szCs w:val="32"/>
        </w:rPr>
        <w:t>与系统保护、励磁保护的</w:t>
      </w:r>
      <w:r>
        <w:rPr>
          <w:rFonts w:ascii="仿宋" w:eastAsia="仿宋" w:hAnsi="仿宋" w:cs="Arial" w:hint="eastAsia"/>
          <w:kern w:val="0"/>
          <w:sz w:val="32"/>
          <w:szCs w:val="32"/>
        </w:rPr>
        <w:lastRenderedPageBreak/>
        <w:t>整定配合关系。</w:t>
      </w:r>
    </w:p>
    <w:p w:rsidR="00894BBF" w:rsidRDefault="00894BBF" w:rsidP="00894BBF">
      <w:pPr>
        <w:autoSpaceDE w:val="0"/>
        <w:autoSpaceDN w:val="0"/>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（6）AVC母线电压跟踪合格率在85%以下。</w:t>
      </w:r>
    </w:p>
    <w:p w:rsidR="00894BBF" w:rsidRDefault="00894BBF" w:rsidP="00894BBF">
      <w:pPr>
        <w:autoSpaceDE w:val="0"/>
        <w:autoSpaceDN w:val="0"/>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2.一级告警</w:t>
      </w:r>
    </w:p>
    <w:p w:rsidR="00894BBF" w:rsidRDefault="00894BBF" w:rsidP="00894BBF">
      <w:pPr>
        <w:autoSpaceDE w:val="0"/>
        <w:autoSpaceDN w:val="0"/>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（1）由于励磁系统故障或误动作，导致机组失磁、失步、误强励。</w:t>
      </w:r>
    </w:p>
    <w:p w:rsidR="00894BBF" w:rsidRDefault="00894BBF" w:rsidP="00894BBF">
      <w:pPr>
        <w:autoSpaceDE w:val="0"/>
        <w:autoSpaceDN w:val="0"/>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（2）励磁调节器存在长期手动运行情况。</w:t>
      </w:r>
    </w:p>
    <w:p w:rsidR="00894BBF" w:rsidRDefault="00894BBF" w:rsidP="00894BBF">
      <w:pPr>
        <w:autoSpaceDE w:val="0"/>
        <w:autoSpaceDN w:val="0"/>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（3）励磁调节器的运行参数设置与励磁系统定值单的参数不一致。</w:t>
      </w:r>
    </w:p>
    <w:p w:rsidR="00894BBF" w:rsidRDefault="00894BBF" w:rsidP="00894BBF">
      <w:pPr>
        <w:autoSpaceDE w:val="0"/>
        <w:autoSpaceDN w:val="0"/>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（4）PSS功能、AVC未按调度要求投入/退出。</w:t>
      </w:r>
    </w:p>
    <w:p w:rsidR="00894BBF" w:rsidRDefault="00894BBF" w:rsidP="00894BBF">
      <w:pPr>
        <w:autoSpaceDE w:val="0"/>
        <w:autoSpaceDN w:val="0"/>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（5）励磁系统改造前、后未向调度部门申请、备案；未按要求完成励磁系统参数测试、PSS、</w:t>
      </w:r>
      <w:proofErr w:type="gramStart"/>
      <w:r>
        <w:rPr>
          <w:rFonts w:ascii="仿宋" w:eastAsia="仿宋" w:hAnsi="仿宋" w:cs="Arial" w:hint="eastAsia"/>
          <w:kern w:val="0"/>
          <w:sz w:val="32"/>
          <w:szCs w:val="32"/>
        </w:rPr>
        <w:t>进相试验</w:t>
      </w:r>
      <w:proofErr w:type="gramEnd"/>
      <w:r>
        <w:rPr>
          <w:rFonts w:ascii="仿宋" w:eastAsia="仿宋" w:hAnsi="仿宋" w:cs="Arial" w:hint="eastAsia"/>
          <w:kern w:val="0"/>
          <w:sz w:val="32"/>
          <w:szCs w:val="32"/>
        </w:rPr>
        <w:t>。</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（6）AVC运行参数与上报调度部门的参数不一致；AVC母线电压跟踪合格率在60%以下。</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（十六）金属监督告警项目</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1.二级告警</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（1）主要受监金属部件：主蒸汽管道、再热蒸汽管道、联箱、受热面管道等，以及水电厂水轮机、</w:t>
      </w:r>
      <w:proofErr w:type="gramStart"/>
      <w:r>
        <w:rPr>
          <w:rFonts w:ascii="仿宋" w:eastAsia="仿宋" w:hAnsi="仿宋" w:cs="Arial" w:hint="eastAsia"/>
          <w:color w:val="auto"/>
          <w:sz w:val="32"/>
          <w:szCs w:val="32"/>
        </w:rPr>
        <w:t>涡</w:t>
      </w:r>
      <w:proofErr w:type="gramEnd"/>
      <w:r>
        <w:rPr>
          <w:rFonts w:ascii="仿宋" w:eastAsia="仿宋" w:hAnsi="仿宋" w:cs="Arial" w:hint="eastAsia"/>
          <w:color w:val="auto"/>
          <w:sz w:val="32"/>
          <w:szCs w:val="32"/>
        </w:rPr>
        <w:t>壳、顶盖、转子支臂、发电机大轴、圆盘支架、承重机架 （头）、给排水压力管道等进行重要改造未制定工艺方案和未审批即实施，或未按金属监督标准规程进行检验。</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（2）主要受监金属部件，如火力发电厂主蒸汽管道、再热蒸汽管道、联箱、高温螺栓等发现影响安全运行的缺陷，</w:t>
      </w:r>
      <w:r>
        <w:rPr>
          <w:rFonts w:ascii="仿宋" w:eastAsia="仿宋" w:hAnsi="仿宋" w:cs="Arial" w:hint="eastAsia"/>
          <w:color w:val="auto"/>
          <w:sz w:val="32"/>
          <w:szCs w:val="32"/>
        </w:rPr>
        <w:lastRenderedPageBreak/>
        <w:t>未及时消除或采取措施。</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（3）更换合金钢部件未进行成分分析、错用钢材或焊接材料。</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（4）金属检验人员和焊工未持证上岗。</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（5）金属监督部件焊接方案未经金属专工审核，焊口一次合格率低于95%。</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（6）电网企业预防性试验检测项目超过宽限期；交接、预防性试验主要检测项目漏项。</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2.一级告警</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（1）重要受监部件：汽包、大型铸件、转子等，以及水电厂的闸门等进行重要改造未制定工艺方案和未审批即实施。</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（2）火电厂主蒸汽管道、再热蒸汽管道、联箱、发电机大轴、汽轮机大轴等存在影响安全运行严重缺陷，未及时消除。</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（3）主要受监金属部件，如火力发电厂高温螺栓20Cr1Mo1VTi（</w:t>
      </w:r>
      <w:proofErr w:type="spellStart"/>
      <w:r>
        <w:rPr>
          <w:rFonts w:ascii="仿宋" w:eastAsia="仿宋" w:hAnsi="仿宋" w:cs="Arial" w:hint="eastAsia"/>
          <w:color w:val="auto"/>
          <w:sz w:val="32"/>
          <w:szCs w:val="32"/>
        </w:rPr>
        <w:t>Nb</w:t>
      </w:r>
      <w:proofErr w:type="spellEnd"/>
      <w:r>
        <w:rPr>
          <w:rFonts w:ascii="仿宋" w:eastAsia="仿宋" w:hAnsi="仿宋" w:cs="Arial" w:hint="eastAsia"/>
          <w:color w:val="auto"/>
          <w:sz w:val="32"/>
          <w:szCs w:val="32"/>
        </w:rPr>
        <w:t>）B未进行</w:t>
      </w:r>
      <w:proofErr w:type="gramStart"/>
      <w:r>
        <w:rPr>
          <w:rFonts w:ascii="仿宋" w:eastAsia="仿宋" w:hAnsi="仿宋" w:cs="Arial" w:hint="eastAsia"/>
          <w:color w:val="auto"/>
          <w:sz w:val="32"/>
          <w:szCs w:val="32"/>
        </w:rPr>
        <w:t>超声粗晶普查</w:t>
      </w:r>
      <w:proofErr w:type="gramEnd"/>
      <w:r>
        <w:rPr>
          <w:rFonts w:ascii="仿宋" w:eastAsia="仿宋" w:hAnsi="仿宋" w:cs="Arial" w:hint="eastAsia"/>
          <w:color w:val="auto"/>
          <w:sz w:val="32"/>
          <w:szCs w:val="32"/>
        </w:rPr>
        <w:t>、大型铸件等未按规程检验。</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（4）高压支柱瓷绝缘子经超声检测发现裂纹等危害性缺陷，未采取有效措施。</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（十七）化学监督告警项目</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1.二级告警</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lastRenderedPageBreak/>
        <w:t>（1）水汽质量异常，未能在“三级处理”原则规定的时间内恢复正常(凝结水、给水、</w:t>
      </w:r>
      <w:proofErr w:type="gramStart"/>
      <w:r>
        <w:rPr>
          <w:rFonts w:ascii="仿宋" w:eastAsia="仿宋" w:hAnsi="仿宋" w:cs="Arial" w:hint="eastAsia"/>
          <w:color w:val="auto"/>
          <w:sz w:val="32"/>
          <w:szCs w:val="32"/>
        </w:rPr>
        <w:t>炉水三级</w:t>
      </w:r>
      <w:proofErr w:type="gramEnd"/>
      <w:r>
        <w:rPr>
          <w:rFonts w:ascii="仿宋" w:eastAsia="仿宋" w:hAnsi="仿宋" w:cs="Arial" w:hint="eastAsia"/>
          <w:color w:val="auto"/>
          <w:sz w:val="32"/>
          <w:szCs w:val="32"/>
        </w:rPr>
        <w:t>处理的时限及异常值见《火力发电机组及蒸汽动力设备水汽质量标准》（GB/T12145），内冷水三级处理的时限及异常值见《火力发电厂水汽化学监督导则》（DL/T561）,其余补给水、蒸汽、循环水等参照执行），并且以上指标24小时内未向内蒙古电力技术监督检测中心报告。</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（2）购置的水处理材料、油品、仪器设备等质量不符合标准要求，影响安全生产。</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（3）机组运行中汽轮机油、抗燃油颗粒度检测连续两次不合格；机组启动前汽轮机油、抗燃油颗粒度不合格擅自开机。</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（4）不按规定对电气设备的绝缘油、六氟化硫气体做采样分析。</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（5）不按规定对燃料进行采、制、化处理及分析。</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（6）氢气纯度和湿度超标时，不采取措施处理。</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（7）重要化学在线仪表不能正常工作，且超过3天没有进行正常分析测试。</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（8）取样、送样、化验等过程中出现严重错误，影响机组安全生产，或造成化验仪器仪表损坏。</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2.一级告警</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（1）水汽质量异常，恢复正常的时限超过三级处理时</w:t>
      </w:r>
      <w:r>
        <w:rPr>
          <w:rFonts w:ascii="仿宋" w:eastAsia="仿宋" w:hAnsi="仿宋" w:cs="Arial" w:hint="eastAsia"/>
          <w:color w:val="auto"/>
          <w:sz w:val="32"/>
          <w:szCs w:val="32"/>
        </w:rPr>
        <w:lastRenderedPageBreak/>
        <w:t>限1倍及以上。</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（2）油中颗粒度检测连续三次不合格，且未采取措施。</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（3）</w:t>
      </w:r>
      <w:proofErr w:type="gramStart"/>
      <w:r>
        <w:rPr>
          <w:rFonts w:ascii="仿宋" w:eastAsia="仿宋" w:hAnsi="仿宋" w:cs="Arial" w:hint="eastAsia"/>
          <w:color w:val="auto"/>
          <w:sz w:val="32"/>
          <w:szCs w:val="32"/>
        </w:rPr>
        <w:t>氢冷系统</w:t>
      </w:r>
      <w:proofErr w:type="gramEnd"/>
      <w:r>
        <w:rPr>
          <w:rFonts w:ascii="仿宋" w:eastAsia="仿宋" w:hAnsi="仿宋" w:cs="Arial" w:hint="eastAsia"/>
          <w:color w:val="auto"/>
          <w:sz w:val="32"/>
          <w:szCs w:val="32"/>
        </w:rPr>
        <w:t>和制氢设备中氢气纯度、湿度严重超标，未采取有效措施。</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（十八）热</w:t>
      </w:r>
      <w:proofErr w:type="gramStart"/>
      <w:r>
        <w:rPr>
          <w:rFonts w:ascii="仿宋" w:eastAsia="仿宋" w:hAnsi="仿宋" w:cs="Arial" w:hint="eastAsia"/>
          <w:color w:val="auto"/>
          <w:sz w:val="32"/>
          <w:szCs w:val="32"/>
        </w:rPr>
        <w:t>工监督</w:t>
      </w:r>
      <w:proofErr w:type="gramEnd"/>
      <w:r>
        <w:rPr>
          <w:rFonts w:ascii="仿宋" w:eastAsia="仿宋" w:hAnsi="仿宋" w:cs="Arial" w:hint="eastAsia"/>
          <w:color w:val="auto"/>
          <w:sz w:val="32"/>
          <w:szCs w:val="32"/>
        </w:rPr>
        <w:t>告警项目</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1.二级告警</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（1）重要设备或系统异常无实时分析记录。</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（2）热工计量标准器具未及时检测且继续使用。</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（3）检测人员未经技术考核合格；计量标准装置未经建标考核合格。</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（4）主汽（再热）温度、主汽压力、给水等主要热工自动调节系统，不能长期正常投入或随意切除。</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（5）机组主保护投入率达不到100%或在运行中随意退出，主要保护装置未定期做传动试验。</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（6）在机组大修后或DCS改造后，未对DCS系统进行性能测试及验收。</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（7）机组大修、通流改造、数字电液控制系统（DEH）或分散控制系统（DCS）改造后未完成一次调频试验、辅机故障减负荷试验（RB）、负荷变动试验、模拟量扰动试验及汽轮机阀门关闭时间测试。</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2.一级告警</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（1）重要保护系统或装置随意退出、停用。锅炉炉膛</w:t>
      </w:r>
      <w:r>
        <w:rPr>
          <w:rFonts w:ascii="仿宋" w:eastAsia="仿宋" w:hAnsi="仿宋" w:cs="Arial" w:hint="eastAsia"/>
          <w:color w:val="auto"/>
          <w:sz w:val="32"/>
          <w:szCs w:val="32"/>
        </w:rPr>
        <w:lastRenderedPageBreak/>
        <w:t>压力、全炉膛灭火、汽包水位（直流炉断水）和汽轮机超速、轴向位移、机组振动、低油压等重要保护虽经批准退出，但未在规定时间内恢复并正常投入。</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（2）主要自动调节系统未投入，造成障碍或事故；保护装置未定期做传动试验，并由此引起保护误动或拒动。</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（3）机组重要主保护系统误动、拒动，并造成设备损坏。</w:t>
      </w:r>
    </w:p>
    <w:p w:rsidR="00894BBF" w:rsidRDefault="00894BBF" w:rsidP="00894BBF">
      <w:pPr>
        <w:pStyle w:val="Default"/>
        <w:adjustRightInd/>
        <w:ind w:firstLineChars="200" w:firstLine="640"/>
        <w:jc w:val="both"/>
        <w:rPr>
          <w:rFonts w:ascii="仿宋" w:eastAsia="仿宋" w:hAnsi="仿宋" w:cs="Arial" w:hint="eastAsia"/>
          <w:strike/>
          <w:color w:val="auto"/>
          <w:sz w:val="32"/>
          <w:szCs w:val="32"/>
        </w:rPr>
      </w:pPr>
      <w:r>
        <w:rPr>
          <w:rFonts w:ascii="仿宋" w:eastAsia="仿宋" w:hAnsi="仿宋" w:cs="Arial" w:hint="eastAsia"/>
          <w:color w:val="auto"/>
          <w:sz w:val="32"/>
          <w:szCs w:val="32"/>
        </w:rPr>
        <w:t>（4）一次调频动作不符合要求，一次调频功能不能全程投入。</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（十九）环保监督告警项目</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1.二级告警</w:t>
      </w:r>
    </w:p>
    <w:p w:rsidR="00894BBF" w:rsidRDefault="00894BBF" w:rsidP="00894BBF">
      <w:pPr>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（1）脱硫装置脱硫效率低于设计值5%～10%。</w:t>
      </w:r>
    </w:p>
    <w:p w:rsidR="00894BBF" w:rsidRDefault="00894BBF" w:rsidP="00894BBF">
      <w:pPr>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（2）SO</w:t>
      </w:r>
      <w:r>
        <w:rPr>
          <w:rFonts w:ascii="仿宋" w:eastAsia="仿宋" w:hAnsi="仿宋" w:cs="Arial" w:hint="eastAsia"/>
          <w:kern w:val="0"/>
          <w:sz w:val="32"/>
          <w:szCs w:val="32"/>
          <w:vertAlign w:val="subscript"/>
        </w:rPr>
        <w:t>2</w:t>
      </w:r>
      <w:r>
        <w:rPr>
          <w:rFonts w:ascii="仿宋" w:eastAsia="仿宋" w:hAnsi="仿宋" w:cs="Arial" w:hint="eastAsia"/>
          <w:kern w:val="0"/>
          <w:sz w:val="32"/>
          <w:szCs w:val="32"/>
        </w:rPr>
        <w:t>排放浓度小时均值超标一倍以内的时间在4h～24h，或超标一倍的时间在1h～4h。</w:t>
      </w:r>
    </w:p>
    <w:p w:rsidR="00894BBF" w:rsidRDefault="00894BBF" w:rsidP="00894BBF">
      <w:pPr>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（3）燃煤月平均硫分超过现有脱硫系统设计值的50%～100%。</w:t>
      </w:r>
    </w:p>
    <w:p w:rsidR="00894BBF" w:rsidRDefault="00894BBF" w:rsidP="00894BBF">
      <w:pPr>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（4）脱硫系统重要计量仪表带故障运行三个月以上。</w:t>
      </w:r>
    </w:p>
    <w:p w:rsidR="00894BBF" w:rsidRDefault="00894BBF" w:rsidP="00894BBF">
      <w:pPr>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（5）NOx排放浓度小时均值超标一倍以内的时间在4h～24h，或超标一倍的时间在1h～4h。</w:t>
      </w:r>
    </w:p>
    <w:p w:rsidR="00894BBF" w:rsidRDefault="00894BBF" w:rsidP="00894BBF">
      <w:pPr>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（6）烟气脱硝装置入口NOx</w:t>
      </w:r>
      <w:proofErr w:type="gramStart"/>
      <w:r>
        <w:rPr>
          <w:rFonts w:ascii="仿宋" w:eastAsia="仿宋" w:hAnsi="仿宋" w:cs="Arial" w:hint="eastAsia"/>
          <w:kern w:val="0"/>
          <w:sz w:val="32"/>
          <w:szCs w:val="32"/>
        </w:rPr>
        <w:t>浓度月</w:t>
      </w:r>
      <w:proofErr w:type="gramEnd"/>
      <w:r>
        <w:rPr>
          <w:rFonts w:ascii="仿宋" w:eastAsia="仿宋" w:hAnsi="仿宋" w:cs="Arial" w:hint="eastAsia"/>
          <w:kern w:val="0"/>
          <w:sz w:val="32"/>
          <w:szCs w:val="32"/>
        </w:rPr>
        <w:t>均值超过设计要求值20%～50%。</w:t>
      </w:r>
    </w:p>
    <w:p w:rsidR="00894BBF" w:rsidRDefault="00894BBF" w:rsidP="00894BBF">
      <w:pPr>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（7）SCR工艺氨逃逸浓度大于2.5mg/m</w:t>
      </w:r>
      <w:r>
        <w:rPr>
          <w:rFonts w:ascii="仿宋" w:eastAsia="仿宋" w:hAnsi="仿宋" w:cs="Arial" w:hint="eastAsia"/>
          <w:kern w:val="0"/>
          <w:sz w:val="32"/>
          <w:szCs w:val="32"/>
          <w:vertAlign w:val="superscript"/>
        </w:rPr>
        <w:t>3</w:t>
      </w:r>
      <w:r>
        <w:rPr>
          <w:rFonts w:ascii="仿宋" w:eastAsia="仿宋" w:hAnsi="仿宋" w:cs="Arial" w:hint="eastAsia"/>
          <w:kern w:val="0"/>
          <w:sz w:val="32"/>
          <w:szCs w:val="32"/>
        </w:rPr>
        <w:t>，月累计或连续</w:t>
      </w:r>
      <w:r>
        <w:rPr>
          <w:rFonts w:ascii="仿宋" w:eastAsia="仿宋" w:hAnsi="仿宋" w:cs="Arial" w:hint="eastAsia"/>
          <w:kern w:val="0"/>
          <w:sz w:val="32"/>
          <w:szCs w:val="32"/>
        </w:rPr>
        <w:lastRenderedPageBreak/>
        <w:t>时间72h～168h；SNCR工艺氨逃逸浓度大于8mg/m</w:t>
      </w:r>
      <w:r>
        <w:rPr>
          <w:rFonts w:ascii="仿宋" w:eastAsia="仿宋" w:hAnsi="仿宋" w:cs="Arial" w:hint="eastAsia"/>
          <w:kern w:val="0"/>
          <w:sz w:val="32"/>
          <w:szCs w:val="32"/>
          <w:vertAlign w:val="superscript"/>
        </w:rPr>
        <w:t>3</w:t>
      </w:r>
      <w:r>
        <w:rPr>
          <w:rFonts w:ascii="仿宋" w:eastAsia="仿宋" w:hAnsi="仿宋" w:cs="Arial" w:hint="eastAsia"/>
          <w:kern w:val="0"/>
          <w:sz w:val="32"/>
          <w:szCs w:val="32"/>
        </w:rPr>
        <w:t>，月累计或连续时间72h～168h。</w:t>
      </w:r>
    </w:p>
    <w:p w:rsidR="00894BBF" w:rsidRDefault="00894BBF" w:rsidP="00894BBF">
      <w:pPr>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（8）脱硝系统重要计量仪表带故障运行三个月以上。</w:t>
      </w:r>
    </w:p>
    <w:p w:rsidR="00894BBF" w:rsidRDefault="00894BBF" w:rsidP="00894BBF">
      <w:pPr>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（9）烟尘排放浓度小时均值超标一倍以内的时间在4h～24h，或超标一倍的时间在1h～4h。</w:t>
      </w:r>
    </w:p>
    <w:p w:rsidR="00894BBF" w:rsidRDefault="00894BBF" w:rsidP="00894BBF">
      <w:pPr>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（10）脱硫废水处理设施超过3天以上至7天以内无故停运，导致排放污染物重要指标超标。</w:t>
      </w:r>
    </w:p>
    <w:p w:rsidR="00894BBF" w:rsidRDefault="00894BBF" w:rsidP="00894BBF">
      <w:pPr>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（11）脱硫装置、CEMS</w:t>
      </w:r>
      <w:proofErr w:type="gramStart"/>
      <w:r>
        <w:rPr>
          <w:rFonts w:ascii="仿宋" w:eastAsia="仿宋" w:hAnsi="仿宋" w:cs="Arial" w:hint="eastAsia"/>
          <w:kern w:val="0"/>
          <w:sz w:val="32"/>
          <w:szCs w:val="32"/>
        </w:rPr>
        <w:t>系统月</w:t>
      </w:r>
      <w:proofErr w:type="gramEnd"/>
      <w:r>
        <w:rPr>
          <w:rFonts w:ascii="仿宋" w:eastAsia="仿宋" w:hAnsi="仿宋" w:cs="Arial" w:hint="eastAsia"/>
          <w:kern w:val="0"/>
          <w:sz w:val="32"/>
          <w:szCs w:val="32"/>
        </w:rPr>
        <w:t>投运率低于规定值5%～10%。</w:t>
      </w:r>
    </w:p>
    <w:p w:rsidR="00894BBF" w:rsidRDefault="00894BBF" w:rsidP="00894BBF">
      <w:pPr>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（12）脱硝装置、CEMS</w:t>
      </w:r>
      <w:proofErr w:type="gramStart"/>
      <w:r>
        <w:rPr>
          <w:rFonts w:ascii="仿宋" w:eastAsia="仿宋" w:hAnsi="仿宋" w:cs="Arial" w:hint="eastAsia"/>
          <w:kern w:val="0"/>
          <w:sz w:val="32"/>
          <w:szCs w:val="32"/>
        </w:rPr>
        <w:t>系统月</w:t>
      </w:r>
      <w:proofErr w:type="gramEnd"/>
      <w:r>
        <w:rPr>
          <w:rFonts w:ascii="仿宋" w:eastAsia="仿宋" w:hAnsi="仿宋" w:cs="Arial" w:hint="eastAsia"/>
          <w:kern w:val="0"/>
          <w:sz w:val="32"/>
          <w:szCs w:val="32"/>
        </w:rPr>
        <w:t>投运率低于规定值5%～10%。</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（13）除尘装置月投运率低于规定值5%～10%。</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2.一级告警</w:t>
      </w:r>
    </w:p>
    <w:p w:rsidR="00894BBF" w:rsidRDefault="00894BBF" w:rsidP="00894BBF">
      <w:pPr>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（1）脱硫装置脱硫效率低于设计值10%以上。</w:t>
      </w:r>
    </w:p>
    <w:p w:rsidR="00894BBF" w:rsidRDefault="00894BBF" w:rsidP="00894BBF">
      <w:pPr>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（2）SO</w:t>
      </w:r>
      <w:r>
        <w:rPr>
          <w:rFonts w:ascii="仿宋" w:eastAsia="仿宋" w:hAnsi="仿宋" w:cs="Arial" w:hint="eastAsia"/>
          <w:kern w:val="0"/>
          <w:sz w:val="32"/>
          <w:szCs w:val="32"/>
          <w:vertAlign w:val="subscript"/>
        </w:rPr>
        <w:t>2</w:t>
      </w:r>
      <w:r>
        <w:rPr>
          <w:rFonts w:ascii="仿宋" w:eastAsia="仿宋" w:hAnsi="仿宋" w:cs="Arial" w:hint="eastAsia"/>
          <w:kern w:val="0"/>
          <w:sz w:val="32"/>
          <w:szCs w:val="32"/>
        </w:rPr>
        <w:t>排放浓度小时均值超标一倍以内的时间在24h以上，或超标一倍的时间在4h以上。</w:t>
      </w:r>
    </w:p>
    <w:p w:rsidR="00894BBF" w:rsidRDefault="00894BBF" w:rsidP="00894BBF">
      <w:pPr>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（3）燃煤月平均硫分超过现有脱硫系统设计值的100%以上。</w:t>
      </w:r>
    </w:p>
    <w:p w:rsidR="00894BBF" w:rsidRDefault="00894BBF" w:rsidP="00894BBF">
      <w:pPr>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（4）脱硫系统重要计量仪表带故障运行一年以上。</w:t>
      </w:r>
    </w:p>
    <w:p w:rsidR="00894BBF" w:rsidRDefault="00894BBF" w:rsidP="00894BBF">
      <w:pPr>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（5）NOx排放浓度小时均值超标一倍以内的时间在24h以上，或超标一倍的时间在4h以上。</w:t>
      </w:r>
    </w:p>
    <w:p w:rsidR="00894BBF" w:rsidRDefault="00894BBF" w:rsidP="00894BBF">
      <w:pPr>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（6）烟气脱硝装置入口NOx</w:t>
      </w:r>
      <w:proofErr w:type="gramStart"/>
      <w:r>
        <w:rPr>
          <w:rFonts w:ascii="仿宋" w:eastAsia="仿宋" w:hAnsi="仿宋" w:cs="Arial" w:hint="eastAsia"/>
          <w:kern w:val="0"/>
          <w:sz w:val="32"/>
          <w:szCs w:val="32"/>
        </w:rPr>
        <w:t>浓度月</w:t>
      </w:r>
      <w:proofErr w:type="gramEnd"/>
      <w:r>
        <w:rPr>
          <w:rFonts w:ascii="仿宋" w:eastAsia="仿宋" w:hAnsi="仿宋" w:cs="Arial" w:hint="eastAsia"/>
          <w:kern w:val="0"/>
          <w:sz w:val="32"/>
          <w:szCs w:val="32"/>
        </w:rPr>
        <w:t>均值超过设计要求</w:t>
      </w:r>
      <w:r>
        <w:rPr>
          <w:rFonts w:ascii="仿宋" w:eastAsia="仿宋" w:hAnsi="仿宋" w:cs="Arial" w:hint="eastAsia"/>
          <w:kern w:val="0"/>
          <w:sz w:val="32"/>
          <w:szCs w:val="32"/>
        </w:rPr>
        <w:lastRenderedPageBreak/>
        <w:t>值50%以上。</w:t>
      </w:r>
    </w:p>
    <w:p w:rsidR="00894BBF" w:rsidRDefault="00894BBF" w:rsidP="00894BBF">
      <w:pPr>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（7）SCR工艺氨逃逸浓度大于2.5mg/m</w:t>
      </w:r>
      <w:r>
        <w:rPr>
          <w:rFonts w:ascii="仿宋" w:eastAsia="仿宋" w:hAnsi="仿宋" w:cs="Arial" w:hint="eastAsia"/>
          <w:kern w:val="0"/>
          <w:sz w:val="32"/>
          <w:szCs w:val="32"/>
          <w:vertAlign w:val="superscript"/>
        </w:rPr>
        <w:t>3</w:t>
      </w:r>
      <w:r>
        <w:rPr>
          <w:rFonts w:ascii="仿宋" w:eastAsia="仿宋" w:hAnsi="仿宋" w:cs="Arial" w:hint="eastAsia"/>
          <w:kern w:val="0"/>
          <w:sz w:val="32"/>
          <w:szCs w:val="32"/>
        </w:rPr>
        <w:t>，月累计或连续时间168h以上；SNCR工艺氨逃逸浓度大于8mg/m</w:t>
      </w:r>
      <w:r>
        <w:rPr>
          <w:rFonts w:ascii="仿宋" w:eastAsia="仿宋" w:hAnsi="仿宋" w:cs="Arial" w:hint="eastAsia"/>
          <w:kern w:val="0"/>
          <w:sz w:val="32"/>
          <w:szCs w:val="32"/>
          <w:vertAlign w:val="superscript"/>
        </w:rPr>
        <w:t>3</w:t>
      </w:r>
      <w:r>
        <w:rPr>
          <w:rFonts w:ascii="仿宋" w:eastAsia="仿宋" w:hAnsi="仿宋" w:cs="Arial" w:hint="eastAsia"/>
          <w:kern w:val="0"/>
          <w:sz w:val="32"/>
          <w:szCs w:val="32"/>
        </w:rPr>
        <w:t>，月累计或连续时间168h以上。</w:t>
      </w:r>
    </w:p>
    <w:p w:rsidR="00894BBF" w:rsidRDefault="00894BBF" w:rsidP="00894BBF">
      <w:pPr>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（8）脱硝系统重要计量仪表带故障运行一年以上。</w:t>
      </w:r>
    </w:p>
    <w:p w:rsidR="00894BBF" w:rsidRDefault="00894BBF" w:rsidP="00894BBF">
      <w:pPr>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（9）烟尘排放浓度小时均值超标一倍以内的时间在24h以上，或超标一倍的时间在4h以上。</w:t>
      </w:r>
    </w:p>
    <w:p w:rsidR="00894BBF" w:rsidRDefault="00894BBF" w:rsidP="00894BBF">
      <w:pPr>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（10）脱硫废水直接排放，或重要指标已连续超标168h以上，造成一定程度的环境污染。</w:t>
      </w:r>
    </w:p>
    <w:p w:rsidR="00894BBF" w:rsidRDefault="00894BBF" w:rsidP="00894BBF">
      <w:pPr>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（11）脱硫装置、CEMS</w:t>
      </w:r>
      <w:proofErr w:type="gramStart"/>
      <w:r>
        <w:rPr>
          <w:rFonts w:ascii="仿宋" w:eastAsia="仿宋" w:hAnsi="仿宋" w:cs="Arial" w:hint="eastAsia"/>
          <w:kern w:val="0"/>
          <w:sz w:val="32"/>
          <w:szCs w:val="32"/>
        </w:rPr>
        <w:t>系统月</w:t>
      </w:r>
      <w:proofErr w:type="gramEnd"/>
      <w:r>
        <w:rPr>
          <w:rFonts w:ascii="仿宋" w:eastAsia="仿宋" w:hAnsi="仿宋" w:cs="Arial" w:hint="eastAsia"/>
          <w:kern w:val="0"/>
          <w:sz w:val="32"/>
          <w:szCs w:val="32"/>
        </w:rPr>
        <w:t>投运率低于规定值10%以上。</w:t>
      </w:r>
    </w:p>
    <w:p w:rsidR="00894BBF" w:rsidRDefault="00894BBF" w:rsidP="00894BBF">
      <w:pPr>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（12）脱硝装置、CEMS</w:t>
      </w:r>
      <w:proofErr w:type="gramStart"/>
      <w:r>
        <w:rPr>
          <w:rFonts w:ascii="仿宋" w:eastAsia="仿宋" w:hAnsi="仿宋" w:cs="Arial" w:hint="eastAsia"/>
          <w:kern w:val="0"/>
          <w:sz w:val="32"/>
          <w:szCs w:val="32"/>
        </w:rPr>
        <w:t>系统月</w:t>
      </w:r>
      <w:proofErr w:type="gramEnd"/>
      <w:r>
        <w:rPr>
          <w:rFonts w:ascii="仿宋" w:eastAsia="仿宋" w:hAnsi="仿宋" w:cs="Arial" w:hint="eastAsia"/>
          <w:kern w:val="0"/>
          <w:sz w:val="32"/>
          <w:szCs w:val="32"/>
        </w:rPr>
        <w:t>投运率低于规定值10%以上。</w:t>
      </w:r>
    </w:p>
    <w:p w:rsidR="00894BBF" w:rsidRDefault="00894BBF" w:rsidP="00894BBF">
      <w:pPr>
        <w:ind w:firstLineChars="200" w:firstLine="640"/>
        <w:rPr>
          <w:rFonts w:ascii="仿宋" w:eastAsia="仿宋" w:hAnsi="仿宋" w:cs="Arial" w:hint="eastAsia"/>
          <w:kern w:val="0"/>
          <w:sz w:val="32"/>
          <w:szCs w:val="32"/>
        </w:rPr>
      </w:pPr>
      <w:r>
        <w:rPr>
          <w:rFonts w:ascii="仿宋" w:eastAsia="仿宋" w:hAnsi="仿宋" w:cs="Arial" w:hint="eastAsia"/>
          <w:kern w:val="0"/>
          <w:sz w:val="32"/>
          <w:szCs w:val="32"/>
        </w:rPr>
        <w:t>（13）除尘装置月投运率低于规定值10%以上。</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（二十）汽（水）轮机监督告警项目</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1.二级告警</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（1）运行中当主机轴承振动任意方向增大到68μm，相对轴振动任意一点增大到165μm时，未进行试验分析及处理。</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（2）主要辅机振动超过《机械振动 在非旋转部件上测量和评价机器的振动 第3部分》（GB/T6075.3）规定的停机值，未采取有效处理措施。</w:t>
      </w:r>
    </w:p>
    <w:p w:rsidR="00894BBF" w:rsidRDefault="00894BBF" w:rsidP="00894BBF">
      <w:pPr>
        <w:pStyle w:val="Default"/>
        <w:adjustRightInd/>
        <w:ind w:firstLineChars="200" w:firstLine="640"/>
        <w:jc w:val="both"/>
        <w:rPr>
          <w:rFonts w:ascii="仿宋" w:eastAsia="仿宋" w:hAnsi="仿宋" w:cs="Arial" w:hint="eastAsia"/>
          <w:strike/>
          <w:color w:val="auto"/>
          <w:sz w:val="32"/>
          <w:szCs w:val="32"/>
        </w:rPr>
      </w:pPr>
      <w:r>
        <w:rPr>
          <w:rFonts w:ascii="仿宋" w:eastAsia="仿宋" w:hAnsi="仿宋" w:cs="Arial" w:hint="eastAsia"/>
          <w:color w:val="auto"/>
          <w:sz w:val="32"/>
          <w:szCs w:val="32"/>
        </w:rPr>
        <w:t>（3）汽轮机组高、中压主汽</w:t>
      </w:r>
      <w:proofErr w:type="gramStart"/>
      <w:r>
        <w:rPr>
          <w:rFonts w:ascii="仿宋" w:eastAsia="仿宋" w:hAnsi="仿宋" w:cs="Arial" w:hint="eastAsia"/>
          <w:color w:val="auto"/>
          <w:sz w:val="32"/>
          <w:szCs w:val="32"/>
        </w:rPr>
        <w:t>门卡涩</w:t>
      </w:r>
      <w:proofErr w:type="gramEnd"/>
      <w:r>
        <w:rPr>
          <w:rFonts w:ascii="仿宋" w:eastAsia="仿宋" w:hAnsi="仿宋" w:cs="Arial" w:hint="eastAsia"/>
          <w:color w:val="auto"/>
          <w:sz w:val="32"/>
          <w:szCs w:val="32"/>
        </w:rPr>
        <w:t>或调速系统异常。</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lastRenderedPageBreak/>
        <w:t>（4）汽（水）轮机未按要求开展调速系统参数测试及建模工作；未按要求对机组调速系统开展定期复核性试验。</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（5）未开展机组重要定期安全性试验。</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（6）供热系统运行参数异常，未制定供热系统安全运行措施或措施不完善。</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2.一级告警</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（1）运行中当主机轴承振动任意方向增大到106μm，相对轴振动任意一点增大到240μm时，未进行试验分析及处理，使其</w:t>
      </w:r>
      <w:proofErr w:type="gramStart"/>
      <w:r>
        <w:rPr>
          <w:rFonts w:ascii="仿宋" w:eastAsia="仿宋" w:hAnsi="仿宋" w:cs="Arial" w:hint="eastAsia"/>
          <w:color w:val="auto"/>
          <w:sz w:val="32"/>
          <w:szCs w:val="32"/>
        </w:rPr>
        <w:t>振动值</w:t>
      </w:r>
      <w:proofErr w:type="gramEnd"/>
      <w:r>
        <w:rPr>
          <w:rFonts w:ascii="仿宋" w:eastAsia="仿宋" w:hAnsi="仿宋" w:cs="Arial" w:hint="eastAsia"/>
          <w:color w:val="auto"/>
          <w:sz w:val="32"/>
          <w:szCs w:val="32"/>
        </w:rPr>
        <w:t>降低到合格范围。</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（2）违反《防止电力生产事故的二十五项重点要求》的情形。</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（二十一）锅炉节能技术监督告警项目</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1.二级告警</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（1）由于设备与系统故障问题或者由于技术改造失败等，造成锅炉出力不足，导致机组带负荷能力严重受限。</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（2）锅炉</w:t>
      </w:r>
      <w:proofErr w:type="gramStart"/>
      <w:r>
        <w:rPr>
          <w:rFonts w:ascii="仿宋" w:eastAsia="仿宋" w:hAnsi="仿宋" w:cs="Arial" w:hint="eastAsia"/>
          <w:color w:val="auto"/>
          <w:sz w:val="32"/>
          <w:szCs w:val="32"/>
        </w:rPr>
        <w:t>空预器</w:t>
      </w:r>
      <w:proofErr w:type="gramEnd"/>
      <w:r>
        <w:rPr>
          <w:rFonts w:ascii="仿宋" w:eastAsia="仿宋" w:hAnsi="仿宋" w:cs="Arial" w:hint="eastAsia"/>
          <w:color w:val="auto"/>
          <w:sz w:val="32"/>
          <w:szCs w:val="32"/>
        </w:rPr>
        <w:t>漏风较大、暖风装置严重失效、吹灰装置投入率低、锅炉尾部烟道相关装置负压漏风较大，严重影响有关设备运行。</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（3）定期节能检测项目及锅炉机组能耗状况综合评价未开展、严重缺项或不符合相关要求。</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（4）锅炉燃煤发生较大变化、相关设备发生较大变化或锅炉燃烧不正常时，未开展锅炉燃烧调整试验。</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lastRenderedPageBreak/>
        <w:t>（5）锅炉机组大修前后、技术改造前后，未开展锅炉</w:t>
      </w:r>
      <w:proofErr w:type="gramStart"/>
      <w:r>
        <w:rPr>
          <w:rFonts w:ascii="仿宋" w:eastAsia="仿宋" w:hAnsi="仿宋" w:cs="Arial" w:hint="eastAsia"/>
          <w:color w:val="auto"/>
          <w:sz w:val="32"/>
          <w:szCs w:val="32"/>
        </w:rPr>
        <w:t>最低稳燃</w:t>
      </w:r>
      <w:proofErr w:type="gramEnd"/>
      <w:r>
        <w:rPr>
          <w:rFonts w:ascii="仿宋" w:eastAsia="仿宋" w:hAnsi="仿宋" w:cs="Arial" w:hint="eastAsia"/>
          <w:color w:val="auto"/>
          <w:sz w:val="32"/>
          <w:szCs w:val="32"/>
        </w:rPr>
        <w:t>负荷试验和锅炉额定负荷试验，导致无法满足技术监督管理要求。</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（6）锅炉本体及辅机设备实施重大技术改造，改造前无节能技术可行性研究报告、改造后无经济性验收评价报告。</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（7）锅炉本体及汽水管道保温失效严重，影响锅炉经济性；锅炉及辅助设备能耗性能指标严重偏离规定范围，无法达到节能要求。</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2.一级告警</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（1）违反《防止电力生产事故的二十五项重点要求》等有关要求。</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（2）锅炉本体及受热面出现严重结焦、积灰、腐蚀、超温、爆管等问题，严重影响锅炉正常运行。</w:t>
      </w:r>
    </w:p>
    <w:p w:rsidR="00894BBF" w:rsidRDefault="00894BBF" w:rsidP="00894BBF">
      <w:pPr>
        <w:pStyle w:val="Default"/>
        <w:adjustRightInd/>
        <w:jc w:val="center"/>
        <w:rPr>
          <w:rFonts w:ascii="仿宋" w:eastAsia="仿宋" w:hAnsi="仿宋" w:cs="Arial" w:hint="eastAsia"/>
          <w:color w:val="auto"/>
          <w:sz w:val="32"/>
          <w:szCs w:val="32"/>
        </w:rPr>
      </w:pPr>
    </w:p>
    <w:p w:rsidR="00894BBF" w:rsidRDefault="00894BBF" w:rsidP="00894BBF">
      <w:pPr>
        <w:pStyle w:val="Default"/>
        <w:adjustRightInd/>
        <w:jc w:val="center"/>
        <w:rPr>
          <w:rFonts w:ascii="黑体" w:eastAsia="黑体" w:hAnsi="黑体" w:cs="Arial" w:hint="eastAsia"/>
          <w:color w:val="auto"/>
          <w:sz w:val="32"/>
          <w:szCs w:val="32"/>
        </w:rPr>
      </w:pPr>
      <w:r>
        <w:rPr>
          <w:rFonts w:ascii="黑体" w:eastAsia="黑体" w:hAnsi="黑体" w:cs="Arial" w:hint="eastAsia"/>
          <w:color w:val="auto"/>
          <w:sz w:val="32"/>
          <w:szCs w:val="32"/>
        </w:rPr>
        <w:t>第三章  技术监督告警方式</w:t>
      </w:r>
    </w:p>
    <w:p w:rsidR="00894BBF" w:rsidRDefault="00894BBF" w:rsidP="00894BBF">
      <w:pPr>
        <w:pStyle w:val="Default"/>
        <w:adjustRightInd/>
        <w:jc w:val="center"/>
        <w:rPr>
          <w:rFonts w:ascii="仿宋" w:eastAsia="仿宋" w:hAnsi="仿宋" w:cs="Arial" w:hint="eastAsia"/>
          <w:color w:val="auto"/>
          <w:sz w:val="32"/>
          <w:szCs w:val="32"/>
        </w:rPr>
      </w:pP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第六条  一级告警由内蒙古电力技术监督检测中心提出，中心主管领导签发；二级告警由内蒙古电力技术监督检测中心各专业提出，内蒙古电力技术监督检测中心办公室签发。</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第七条  监督告警采取“技术监督告警通知单”的方式下发至告警单位及告警单位所属公司，一级技术监督告警通</w:t>
      </w:r>
      <w:r>
        <w:rPr>
          <w:rFonts w:ascii="仿宋" w:eastAsia="仿宋" w:hAnsi="仿宋" w:cs="Arial" w:hint="eastAsia"/>
          <w:color w:val="auto"/>
          <w:sz w:val="32"/>
          <w:szCs w:val="32"/>
        </w:rPr>
        <w:lastRenderedPageBreak/>
        <w:t>知单同时报送至属地经信委。</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第八条  发出的“技术监督告警通知单”，其内容将在《电力技术监督季报》中予以通报，以引起重视，起到预防和警示作用。</w:t>
      </w:r>
    </w:p>
    <w:p w:rsidR="00894BBF" w:rsidRDefault="00894BBF" w:rsidP="00894BBF">
      <w:pPr>
        <w:pStyle w:val="Default"/>
        <w:adjustRightInd/>
        <w:jc w:val="center"/>
        <w:rPr>
          <w:rFonts w:ascii="仿宋" w:eastAsia="仿宋" w:hAnsi="仿宋" w:cs="Arial" w:hint="eastAsia"/>
          <w:color w:val="auto"/>
          <w:sz w:val="32"/>
          <w:szCs w:val="32"/>
        </w:rPr>
      </w:pPr>
    </w:p>
    <w:p w:rsidR="00894BBF" w:rsidRDefault="00894BBF" w:rsidP="00894BBF">
      <w:pPr>
        <w:pStyle w:val="Default"/>
        <w:adjustRightInd/>
        <w:jc w:val="center"/>
        <w:rPr>
          <w:rFonts w:ascii="黑体" w:eastAsia="黑体" w:hAnsi="黑体" w:cs="Arial" w:hint="eastAsia"/>
          <w:color w:val="auto"/>
          <w:sz w:val="32"/>
          <w:szCs w:val="32"/>
        </w:rPr>
      </w:pPr>
      <w:r>
        <w:rPr>
          <w:rFonts w:ascii="黑体" w:eastAsia="黑体" w:hAnsi="黑体" w:cs="Arial" w:hint="eastAsia"/>
          <w:color w:val="auto"/>
          <w:sz w:val="32"/>
          <w:szCs w:val="32"/>
        </w:rPr>
        <w:t>第四章  执行与考核</w:t>
      </w:r>
    </w:p>
    <w:p w:rsidR="00894BBF" w:rsidRDefault="00894BBF" w:rsidP="00894BBF">
      <w:pPr>
        <w:pStyle w:val="Default"/>
        <w:adjustRightInd/>
        <w:jc w:val="center"/>
        <w:rPr>
          <w:rFonts w:ascii="仿宋" w:eastAsia="仿宋" w:hAnsi="仿宋" w:cs="Arial" w:hint="eastAsia"/>
          <w:color w:val="auto"/>
          <w:sz w:val="32"/>
          <w:szCs w:val="32"/>
        </w:rPr>
      </w:pP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第九条  接到一级“技术监督告警通知单”的单位，要根据告警事项立即组织研究，采取防范处理措施，并在告警期内向属地盟市</w:t>
      </w:r>
      <w:proofErr w:type="gramStart"/>
      <w:r>
        <w:rPr>
          <w:rFonts w:ascii="仿宋" w:eastAsia="仿宋" w:hAnsi="仿宋" w:cs="Arial" w:hint="eastAsia"/>
          <w:color w:val="auto"/>
          <w:sz w:val="32"/>
          <w:szCs w:val="32"/>
        </w:rPr>
        <w:t>经信委和</w:t>
      </w:r>
      <w:proofErr w:type="gramEnd"/>
      <w:r>
        <w:rPr>
          <w:rFonts w:ascii="仿宋" w:eastAsia="仿宋" w:hAnsi="仿宋" w:cs="Arial" w:hint="eastAsia"/>
          <w:color w:val="auto"/>
          <w:sz w:val="32"/>
          <w:szCs w:val="32"/>
        </w:rPr>
        <w:t>内蒙古电力技术监督检测中心以正式文件的形式报送“技术监督告警回执单”，整改完成后向属地盟市</w:t>
      </w:r>
      <w:proofErr w:type="gramStart"/>
      <w:r>
        <w:rPr>
          <w:rFonts w:ascii="仿宋" w:eastAsia="仿宋" w:hAnsi="仿宋" w:cs="Arial" w:hint="eastAsia"/>
          <w:color w:val="auto"/>
          <w:sz w:val="32"/>
          <w:szCs w:val="32"/>
        </w:rPr>
        <w:t>经信委和</w:t>
      </w:r>
      <w:proofErr w:type="gramEnd"/>
      <w:r>
        <w:rPr>
          <w:rFonts w:ascii="仿宋" w:eastAsia="仿宋" w:hAnsi="仿宋" w:cs="Arial" w:hint="eastAsia"/>
          <w:color w:val="auto"/>
          <w:sz w:val="32"/>
          <w:szCs w:val="32"/>
        </w:rPr>
        <w:t>内蒙古电力技术监督检测中心以正式文件的形式报送相关资料和“技术监督告警整改单”。</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第十条  接到二级“技术监督告警通知单”的单位，要根据告警事项立即组织研究，采取防范处理措施，并在告警期内向内蒙古电力技术监督检测中心报送“技术监督告警回执单”，整改完成后向内蒙古电力技术监督检测中心报送相关资料和“技术监督告警整改单”。</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第十一条  告警通知发出后，技术监督执行部门应全程跟踪整改过程，对</w:t>
      </w:r>
      <w:proofErr w:type="gramStart"/>
      <w:r>
        <w:rPr>
          <w:rFonts w:ascii="仿宋" w:eastAsia="仿宋" w:hAnsi="仿宋" w:cs="Arial" w:hint="eastAsia"/>
          <w:color w:val="auto"/>
          <w:sz w:val="32"/>
          <w:szCs w:val="32"/>
        </w:rPr>
        <w:t>整改全</w:t>
      </w:r>
      <w:proofErr w:type="gramEnd"/>
      <w:r>
        <w:rPr>
          <w:rFonts w:ascii="仿宋" w:eastAsia="仿宋" w:hAnsi="仿宋" w:cs="Arial" w:hint="eastAsia"/>
          <w:color w:val="auto"/>
          <w:sz w:val="32"/>
          <w:szCs w:val="32"/>
        </w:rPr>
        <w:t>过程实施有效的监督。</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第十二条  一、二级告警由内蒙古电力技术监督检测中心验收。</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lastRenderedPageBreak/>
        <w:t>第十三条  技术监督告警制度的执行情况要纳入技术监督检查考核范围，按照《内蒙古电力技术监督考评办法》执行。对于在整改期间，未按要求认真进行整改并因此造成事故、扩大事故或延误事故处理的要严肃追究责任。</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第十四条  一级告警在整改期内未开展整改或未整改完毕，由内蒙古电力技术监督检测中心上报内蒙古自治区经信委。</w:t>
      </w:r>
    </w:p>
    <w:p w:rsidR="00894BBF" w:rsidRDefault="00894BBF" w:rsidP="00894BBF">
      <w:pPr>
        <w:pStyle w:val="Default"/>
        <w:adjustRightInd/>
        <w:jc w:val="center"/>
        <w:rPr>
          <w:rFonts w:ascii="仿宋" w:eastAsia="仿宋" w:hAnsi="仿宋" w:cs="Arial" w:hint="eastAsia"/>
          <w:color w:val="auto"/>
          <w:sz w:val="32"/>
          <w:szCs w:val="32"/>
        </w:rPr>
      </w:pPr>
    </w:p>
    <w:p w:rsidR="00894BBF" w:rsidRDefault="00894BBF" w:rsidP="00894BBF">
      <w:pPr>
        <w:pStyle w:val="Default"/>
        <w:adjustRightInd/>
        <w:jc w:val="center"/>
        <w:rPr>
          <w:rFonts w:ascii="黑体" w:eastAsia="黑体" w:hAnsi="黑体" w:cs="Arial" w:hint="eastAsia"/>
          <w:color w:val="auto"/>
          <w:sz w:val="32"/>
          <w:szCs w:val="32"/>
        </w:rPr>
      </w:pPr>
      <w:r>
        <w:rPr>
          <w:rFonts w:ascii="黑体" w:eastAsia="黑体" w:hAnsi="黑体" w:cs="Arial" w:hint="eastAsia"/>
          <w:color w:val="auto"/>
          <w:sz w:val="32"/>
          <w:szCs w:val="32"/>
        </w:rPr>
        <w:t>第五章  附  则</w:t>
      </w:r>
    </w:p>
    <w:p w:rsidR="00894BBF" w:rsidRDefault="00894BBF" w:rsidP="00894BBF">
      <w:pPr>
        <w:pStyle w:val="Default"/>
        <w:adjustRightInd/>
        <w:jc w:val="center"/>
        <w:rPr>
          <w:rFonts w:ascii="黑体" w:eastAsia="黑体" w:hAnsi="黑体" w:cs="Arial" w:hint="eastAsia"/>
          <w:color w:val="auto"/>
          <w:sz w:val="32"/>
          <w:szCs w:val="32"/>
        </w:rPr>
      </w:pP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第十五条  各单位应根据本制度，结合本单位实际情况，完善技术监督管理制度。</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第十六条</w:t>
      </w:r>
      <w:r>
        <w:rPr>
          <w:rFonts w:ascii="仿宋" w:eastAsia="仿宋" w:hAnsi="仿宋" w:hint="eastAsia"/>
          <w:color w:val="auto"/>
          <w:sz w:val="32"/>
          <w:szCs w:val="32"/>
        </w:rPr>
        <w:t xml:space="preserve">  根据国家、电力行业有关法律法规的变化和《内蒙古电力运行技术监督工作管理办法》，适时修订本制度。</w:t>
      </w:r>
    </w:p>
    <w:p w:rsidR="00894BBF" w:rsidRDefault="00894BBF" w:rsidP="00894BBF">
      <w:pPr>
        <w:pStyle w:val="Default"/>
        <w:adjustRightInd/>
        <w:ind w:firstLineChars="200" w:firstLine="640"/>
        <w:jc w:val="both"/>
        <w:rPr>
          <w:rFonts w:ascii="仿宋" w:eastAsia="仿宋" w:hAnsi="仿宋" w:cs="Arial" w:hint="eastAsia"/>
          <w:color w:val="auto"/>
          <w:sz w:val="32"/>
          <w:szCs w:val="32"/>
        </w:rPr>
      </w:pPr>
      <w:r>
        <w:rPr>
          <w:rFonts w:ascii="仿宋" w:eastAsia="仿宋" w:hAnsi="仿宋" w:cs="Arial" w:hint="eastAsia"/>
          <w:color w:val="auto"/>
          <w:sz w:val="32"/>
          <w:szCs w:val="32"/>
        </w:rPr>
        <w:t>第十七条  本制度自印发之日起执行，</w:t>
      </w:r>
      <w:r>
        <w:rPr>
          <w:rFonts w:ascii="仿宋" w:eastAsia="仿宋" w:hAnsi="仿宋" w:hint="eastAsia"/>
          <w:color w:val="auto"/>
          <w:sz w:val="32"/>
          <w:szCs w:val="32"/>
        </w:rPr>
        <w:t>《内蒙古电力技术监督告警制度》（内经信电力字〔2012〕815号）同时废止。</w:t>
      </w:r>
    </w:p>
    <w:p w:rsidR="00894BBF" w:rsidRDefault="00894BBF" w:rsidP="00894BBF">
      <w:pPr>
        <w:pStyle w:val="Default"/>
        <w:adjustRightInd/>
        <w:ind w:firstLineChars="200" w:firstLine="640"/>
        <w:rPr>
          <w:rFonts w:ascii="仿宋" w:eastAsia="仿宋" w:hAnsi="仿宋" w:cs="Arial" w:hint="eastAsia"/>
          <w:color w:val="auto"/>
          <w:sz w:val="32"/>
          <w:szCs w:val="32"/>
        </w:rPr>
      </w:pPr>
    </w:p>
    <w:p w:rsidR="00894BBF" w:rsidRDefault="00894BBF" w:rsidP="00894BBF">
      <w:pPr>
        <w:pStyle w:val="Default"/>
        <w:adjustRightInd/>
        <w:ind w:firstLineChars="200" w:firstLine="640"/>
        <w:rPr>
          <w:rFonts w:ascii="仿宋" w:eastAsia="仿宋" w:hAnsi="仿宋" w:cs="Arial" w:hint="eastAsia"/>
          <w:color w:val="auto"/>
          <w:sz w:val="32"/>
          <w:szCs w:val="32"/>
        </w:rPr>
      </w:pPr>
    </w:p>
    <w:p w:rsidR="00894BBF" w:rsidRDefault="00894BBF" w:rsidP="00894BBF">
      <w:pPr>
        <w:pStyle w:val="Default"/>
        <w:adjustRightInd/>
        <w:ind w:firstLineChars="200" w:firstLine="640"/>
        <w:rPr>
          <w:rFonts w:ascii="仿宋" w:eastAsia="仿宋" w:hAnsi="仿宋" w:cs="Arial" w:hint="eastAsia"/>
          <w:color w:val="auto"/>
          <w:sz w:val="32"/>
          <w:szCs w:val="32"/>
        </w:rPr>
      </w:pPr>
      <w:r>
        <w:rPr>
          <w:rFonts w:ascii="仿宋" w:eastAsia="仿宋" w:hAnsi="仿宋" w:cs="Arial" w:hint="eastAsia"/>
          <w:color w:val="auto"/>
          <w:sz w:val="32"/>
          <w:szCs w:val="32"/>
        </w:rPr>
        <w:t>附件1.技术监督告警通知单</w:t>
      </w:r>
    </w:p>
    <w:p w:rsidR="00894BBF" w:rsidRDefault="00894BBF" w:rsidP="00894BBF">
      <w:pPr>
        <w:pStyle w:val="Default"/>
        <w:adjustRightInd/>
        <w:ind w:firstLineChars="200" w:firstLine="640"/>
        <w:rPr>
          <w:rFonts w:ascii="仿宋" w:eastAsia="仿宋" w:hAnsi="仿宋" w:cs="Arial" w:hint="eastAsia"/>
          <w:color w:val="auto"/>
          <w:sz w:val="32"/>
          <w:szCs w:val="32"/>
        </w:rPr>
      </w:pPr>
      <w:r>
        <w:rPr>
          <w:rFonts w:ascii="仿宋" w:eastAsia="仿宋" w:hAnsi="仿宋" w:cs="Arial" w:hint="eastAsia"/>
          <w:color w:val="auto"/>
          <w:sz w:val="32"/>
          <w:szCs w:val="32"/>
        </w:rPr>
        <w:t>附件2.技术监督告警回执单</w:t>
      </w:r>
    </w:p>
    <w:p w:rsidR="00894BBF" w:rsidRDefault="00894BBF" w:rsidP="00894BBF">
      <w:pPr>
        <w:pStyle w:val="Default"/>
        <w:ind w:firstLineChars="200" w:firstLine="640"/>
        <w:rPr>
          <w:rFonts w:ascii="仿宋" w:eastAsia="仿宋" w:hAnsi="仿宋" w:cs="Arial" w:hint="eastAsia"/>
          <w:color w:val="auto"/>
          <w:sz w:val="32"/>
          <w:szCs w:val="32"/>
        </w:rPr>
      </w:pPr>
      <w:r>
        <w:rPr>
          <w:rFonts w:ascii="仿宋" w:eastAsia="仿宋" w:hAnsi="仿宋" w:cs="Arial" w:hint="eastAsia"/>
          <w:color w:val="auto"/>
          <w:sz w:val="32"/>
          <w:szCs w:val="32"/>
        </w:rPr>
        <w:lastRenderedPageBreak/>
        <w:t>附件3.技术监督告警整改单</w:t>
      </w:r>
    </w:p>
    <w:p w:rsidR="00894BBF" w:rsidRDefault="00894BBF" w:rsidP="00894BBF">
      <w:pPr>
        <w:pStyle w:val="Default"/>
        <w:ind w:firstLineChars="200" w:firstLine="640"/>
        <w:rPr>
          <w:rFonts w:ascii="仿宋" w:eastAsia="仿宋" w:hAnsi="仿宋" w:cs="Arial" w:hint="eastAsia"/>
          <w:color w:val="auto"/>
          <w:sz w:val="32"/>
          <w:szCs w:val="32"/>
        </w:rPr>
      </w:pPr>
    </w:p>
    <w:p w:rsidR="00894BBF" w:rsidRDefault="00894BBF" w:rsidP="00894BBF">
      <w:pPr>
        <w:pStyle w:val="Default"/>
        <w:ind w:firstLineChars="200" w:firstLine="640"/>
        <w:rPr>
          <w:rFonts w:ascii="仿宋" w:eastAsia="仿宋" w:hAnsi="仿宋" w:cs="Arial" w:hint="eastAsia"/>
          <w:color w:val="auto"/>
          <w:sz w:val="32"/>
          <w:szCs w:val="32"/>
        </w:rPr>
      </w:pPr>
    </w:p>
    <w:p w:rsidR="00894BBF" w:rsidRDefault="00894BBF" w:rsidP="00894BBF">
      <w:pPr>
        <w:pStyle w:val="Default"/>
        <w:ind w:firstLineChars="200" w:firstLine="640"/>
        <w:rPr>
          <w:rFonts w:ascii="仿宋" w:eastAsia="仿宋" w:hAnsi="仿宋" w:cs="Arial" w:hint="eastAsia"/>
          <w:color w:val="auto"/>
          <w:sz w:val="32"/>
          <w:szCs w:val="32"/>
        </w:rPr>
      </w:pPr>
    </w:p>
    <w:p w:rsidR="00894BBF" w:rsidRDefault="00894BBF" w:rsidP="00894BBF">
      <w:pPr>
        <w:pStyle w:val="Default"/>
        <w:ind w:firstLineChars="200" w:firstLine="640"/>
        <w:rPr>
          <w:rFonts w:ascii="仿宋" w:eastAsia="仿宋" w:hAnsi="仿宋" w:cs="Arial" w:hint="eastAsia"/>
          <w:color w:val="auto"/>
          <w:sz w:val="32"/>
          <w:szCs w:val="32"/>
        </w:rPr>
      </w:pPr>
    </w:p>
    <w:p w:rsidR="00894BBF" w:rsidRDefault="00894BBF" w:rsidP="00894BBF">
      <w:pPr>
        <w:pStyle w:val="Default"/>
        <w:ind w:firstLineChars="200" w:firstLine="640"/>
        <w:rPr>
          <w:rFonts w:ascii="仿宋" w:eastAsia="仿宋" w:hAnsi="仿宋" w:cs="Arial" w:hint="eastAsia"/>
          <w:color w:val="auto"/>
          <w:sz w:val="32"/>
          <w:szCs w:val="32"/>
        </w:rPr>
      </w:pPr>
    </w:p>
    <w:p w:rsidR="00894BBF" w:rsidRDefault="00894BBF" w:rsidP="00894BBF">
      <w:pPr>
        <w:pStyle w:val="Default"/>
        <w:jc w:val="center"/>
        <w:rPr>
          <w:rFonts w:ascii="方正小标宋简体" w:eastAsia="方正小标宋简体" w:hAnsi="仿宋" w:hint="eastAsia"/>
          <w:sz w:val="44"/>
          <w:szCs w:val="44"/>
        </w:rPr>
      </w:pPr>
      <w:r>
        <w:rPr>
          <w:rFonts w:ascii="方正小标宋简体" w:eastAsia="方正小标宋简体" w:hAnsi="仿宋" w:hint="eastAsia"/>
          <w:bCs/>
          <w:sz w:val="44"/>
          <w:szCs w:val="44"/>
        </w:rPr>
        <w:t>技术监督告警通知单</w:t>
      </w:r>
    </w:p>
    <w:p w:rsidR="00894BBF" w:rsidRDefault="00894BBF" w:rsidP="00894BBF">
      <w:pPr>
        <w:rPr>
          <w:rFonts w:ascii="仿宋_GB2312" w:eastAsia="仿宋_GB2312" w:hAnsi="仿宋" w:hint="eastAsia"/>
          <w:szCs w:val="21"/>
        </w:rPr>
      </w:pPr>
      <w:r>
        <w:rPr>
          <w:rFonts w:ascii="仿宋_GB2312" w:eastAsia="仿宋_GB2312" w:hAnsi="仿宋" w:hint="eastAsia"/>
        </w:rPr>
        <w:t xml:space="preserve"> </w:t>
      </w:r>
    </w:p>
    <w:p w:rsidR="00894BBF" w:rsidRDefault="00894BBF" w:rsidP="00894BBF">
      <w:pPr>
        <w:rPr>
          <w:rFonts w:ascii="仿宋" w:eastAsia="仿宋" w:hAnsi="仿宋" w:hint="eastAsia"/>
          <w:sz w:val="32"/>
          <w:szCs w:val="32"/>
        </w:rPr>
      </w:pPr>
      <w:r>
        <w:rPr>
          <w:rFonts w:ascii="仿宋" w:eastAsia="仿宋" w:hAnsi="仿宋" w:hint="eastAsia"/>
          <w:sz w:val="32"/>
          <w:szCs w:val="32"/>
        </w:rPr>
        <w:t>编号：20XX-专业代码-XXX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7"/>
        <w:gridCol w:w="1120"/>
        <w:gridCol w:w="1191"/>
        <w:gridCol w:w="241"/>
        <w:gridCol w:w="1061"/>
        <w:gridCol w:w="512"/>
        <w:gridCol w:w="1191"/>
        <w:gridCol w:w="1274"/>
      </w:tblGrid>
      <w:tr w:rsidR="00894BBF" w:rsidTr="00737ABA">
        <w:trPr>
          <w:trHeight w:val="770"/>
          <w:jc w:val="center"/>
        </w:trPr>
        <w:tc>
          <w:tcPr>
            <w:tcW w:w="1687" w:type="dxa"/>
            <w:vAlign w:val="center"/>
          </w:tcPr>
          <w:p w:rsidR="00894BBF" w:rsidRDefault="00894BBF" w:rsidP="00894BBF">
            <w:pPr>
              <w:spacing w:beforeLines="50" w:before="156" w:afterLines="50" w:after="156" w:line="440" w:lineRule="exact"/>
              <w:jc w:val="center"/>
              <w:rPr>
                <w:rFonts w:ascii="仿宋" w:eastAsia="仿宋" w:hAnsi="仿宋"/>
                <w:sz w:val="32"/>
                <w:szCs w:val="32"/>
              </w:rPr>
            </w:pPr>
            <w:r>
              <w:rPr>
                <w:rFonts w:ascii="仿宋" w:eastAsia="仿宋" w:hAnsi="仿宋" w:hint="eastAsia"/>
                <w:sz w:val="32"/>
                <w:szCs w:val="32"/>
              </w:rPr>
              <w:t>告警等级</w:t>
            </w:r>
          </w:p>
        </w:tc>
        <w:tc>
          <w:tcPr>
            <w:tcW w:w="2552" w:type="dxa"/>
            <w:gridSpan w:val="3"/>
            <w:vAlign w:val="center"/>
          </w:tcPr>
          <w:p w:rsidR="00894BBF" w:rsidRDefault="00894BBF" w:rsidP="00894BBF">
            <w:pPr>
              <w:spacing w:beforeLines="50" w:before="156" w:afterLines="50" w:after="156" w:line="440" w:lineRule="exact"/>
              <w:jc w:val="center"/>
              <w:rPr>
                <w:rFonts w:ascii="仿宋" w:eastAsia="仿宋" w:hAnsi="仿宋"/>
                <w:sz w:val="32"/>
                <w:szCs w:val="32"/>
              </w:rPr>
            </w:pPr>
          </w:p>
        </w:tc>
        <w:tc>
          <w:tcPr>
            <w:tcW w:w="1573" w:type="dxa"/>
            <w:gridSpan w:val="2"/>
            <w:vAlign w:val="center"/>
          </w:tcPr>
          <w:p w:rsidR="00894BBF" w:rsidRDefault="00894BBF" w:rsidP="00894BBF">
            <w:pPr>
              <w:spacing w:beforeLines="50" w:before="156" w:afterLines="50" w:after="156" w:line="440" w:lineRule="exact"/>
              <w:jc w:val="center"/>
              <w:rPr>
                <w:rFonts w:ascii="仿宋" w:eastAsia="仿宋" w:hAnsi="仿宋"/>
                <w:sz w:val="32"/>
                <w:szCs w:val="32"/>
              </w:rPr>
            </w:pPr>
            <w:r>
              <w:rPr>
                <w:rFonts w:ascii="仿宋" w:eastAsia="仿宋" w:hAnsi="仿宋" w:hint="eastAsia"/>
                <w:sz w:val="32"/>
                <w:szCs w:val="32"/>
              </w:rPr>
              <w:t>告警时间</w:t>
            </w:r>
          </w:p>
        </w:tc>
        <w:tc>
          <w:tcPr>
            <w:tcW w:w="2465" w:type="dxa"/>
            <w:gridSpan w:val="2"/>
            <w:vAlign w:val="center"/>
          </w:tcPr>
          <w:p w:rsidR="00894BBF" w:rsidRDefault="00894BBF" w:rsidP="00894BBF">
            <w:pPr>
              <w:spacing w:beforeLines="50" w:before="156" w:afterLines="50" w:after="156" w:line="440" w:lineRule="exact"/>
              <w:ind w:firstLineChars="200" w:firstLine="640"/>
              <w:rPr>
                <w:rFonts w:ascii="仿宋" w:eastAsia="仿宋" w:hAnsi="仿宋"/>
                <w:sz w:val="32"/>
                <w:szCs w:val="32"/>
              </w:rPr>
            </w:pPr>
            <w:r>
              <w:rPr>
                <w:rFonts w:ascii="仿宋" w:eastAsia="仿宋" w:hAnsi="仿宋" w:hint="eastAsia"/>
                <w:sz w:val="32"/>
                <w:szCs w:val="32"/>
              </w:rPr>
              <w:t>年  月  日</w:t>
            </w:r>
          </w:p>
        </w:tc>
      </w:tr>
      <w:tr w:rsidR="00894BBF" w:rsidTr="00737ABA">
        <w:trPr>
          <w:trHeight w:val="570"/>
          <w:jc w:val="center"/>
        </w:trPr>
        <w:tc>
          <w:tcPr>
            <w:tcW w:w="1687" w:type="dxa"/>
            <w:vAlign w:val="center"/>
          </w:tcPr>
          <w:p w:rsidR="00894BBF" w:rsidRDefault="00894BBF" w:rsidP="00894BBF">
            <w:pPr>
              <w:spacing w:beforeLines="50" w:before="156" w:afterLines="50" w:after="156" w:line="440" w:lineRule="exact"/>
              <w:jc w:val="center"/>
              <w:rPr>
                <w:rFonts w:ascii="仿宋" w:eastAsia="仿宋" w:hAnsi="仿宋"/>
                <w:dstrike/>
                <w:sz w:val="32"/>
                <w:szCs w:val="32"/>
              </w:rPr>
            </w:pPr>
            <w:r>
              <w:rPr>
                <w:rFonts w:ascii="仿宋" w:eastAsia="仿宋" w:hAnsi="仿宋" w:hint="eastAsia"/>
                <w:sz w:val="32"/>
                <w:szCs w:val="32"/>
              </w:rPr>
              <w:t>告警单位</w:t>
            </w:r>
          </w:p>
        </w:tc>
        <w:tc>
          <w:tcPr>
            <w:tcW w:w="6590" w:type="dxa"/>
            <w:gridSpan w:val="7"/>
            <w:vAlign w:val="center"/>
          </w:tcPr>
          <w:p w:rsidR="00894BBF" w:rsidRDefault="00894BBF" w:rsidP="00894BBF">
            <w:pPr>
              <w:spacing w:beforeLines="50" w:before="156" w:afterLines="50" w:after="156" w:line="440" w:lineRule="exact"/>
              <w:jc w:val="center"/>
              <w:rPr>
                <w:rFonts w:ascii="仿宋" w:eastAsia="仿宋" w:hAnsi="仿宋"/>
                <w:dstrike/>
                <w:sz w:val="32"/>
                <w:szCs w:val="32"/>
              </w:rPr>
            </w:pPr>
          </w:p>
        </w:tc>
      </w:tr>
      <w:tr w:rsidR="00894BBF" w:rsidTr="00737ABA">
        <w:trPr>
          <w:trHeight w:val="1633"/>
          <w:jc w:val="center"/>
        </w:trPr>
        <w:tc>
          <w:tcPr>
            <w:tcW w:w="1687" w:type="dxa"/>
            <w:vAlign w:val="center"/>
          </w:tcPr>
          <w:p w:rsidR="00894BBF" w:rsidRDefault="00894BBF" w:rsidP="00894BBF">
            <w:pPr>
              <w:spacing w:beforeLines="100" w:before="312" w:afterLines="100" w:after="312" w:line="440" w:lineRule="exact"/>
              <w:jc w:val="center"/>
              <w:rPr>
                <w:rFonts w:ascii="仿宋" w:eastAsia="仿宋" w:hAnsi="仿宋" w:cs="Arial"/>
                <w:kern w:val="0"/>
                <w:sz w:val="32"/>
                <w:szCs w:val="32"/>
              </w:rPr>
            </w:pPr>
            <w:r>
              <w:rPr>
                <w:rFonts w:ascii="仿宋" w:eastAsia="仿宋" w:hAnsi="仿宋" w:cs="Arial" w:hint="eastAsia"/>
                <w:kern w:val="0"/>
                <w:sz w:val="32"/>
                <w:szCs w:val="32"/>
              </w:rPr>
              <w:t>告警内容</w:t>
            </w:r>
          </w:p>
        </w:tc>
        <w:tc>
          <w:tcPr>
            <w:tcW w:w="6590" w:type="dxa"/>
            <w:gridSpan w:val="7"/>
            <w:vAlign w:val="center"/>
          </w:tcPr>
          <w:p w:rsidR="00894BBF" w:rsidRDefault="00894BBF" w:rsidP="00894BBF">
            <w:pPr>
              <w:spacing w:beforeLines="100" w:before="312" w:afterLines="100" w:after="312" w:line="440" w:lineRule="exact"/>
              <w:rPr>
                <w:rFonts w:ascii="仿宋" w:eastAsia="仿宋" w:hAnsi="仿宋"/>
                <w:sz w:val="32"/>
                <w:szCs w:val="32"/>
              </w:rPr>
            </w:pPr>
          </w:p>
        </w:tc>
      </w:tr>
      <w:tr w:rsidR="00894BBF" w:rsidTr="00737ABA">
        <w:trPr>
          <w:trHeight w:val="1675"/>
          <w:jc w:val="center"/>
        </w:trPr>
        <w:tc>
          <w:tcPr>
            <w:tcW w:w="1687" w:type="dxa"/>
            <w:vAlign w:val="center"/>
          </w:tcPr>
          <w:p w:rsidR="00894BBF" w:rsidRDefault="00894BBF" w:rsidP="00894BBF">
            <w:pPr>
              <w:spacing w:beforeLines="100" w:before="312" w:afterLines="100" w:after="312" w:line="360" w:lineRule="exact"/>
              <w:jc w:val="center"/>
              <w:rPr>
                <w:rFonts w:ascii="仿宋" w:eastAsia="仿宋" w:hAnsi="仿宋"/>
                <w:sz w:val="32"/>
                <w:szCs w:val="32"/>
              </w:rPr>
            </w:pPr>
            <w:r>
              <w:rPr>
                <w:rFonts w:ascii="仿宋" w:eastAsia="仿宋" w:hAnsi="仿宋" w:hint="eastAsia"/>
                <w:sz w:val="32"/>
                <w:szCs w:val="32"/>
              </w:rPr>
              <w:t>整改要求</w:t>
            </w:r>
          </w:p>
        </w:tc>
        <w:tc>
          <w:tcPr>
            <w:tcW w:w="6590" w:type="dxa"/>
            <w:gridSpan w:val="7"/>
            <w:vAlign w:val="center"/>
          </w:tcPr>
          <w:p w:rsidR="00894BBF" w:rsidRDefault="00894BBF" w:rsidP="00894BBF">
            <w:pPr>
              <w:spacing w:beforeLines="100" w:before="312" w:afterLines="100" w:after="312" w:line="440" w:lineRule="exact"/>
              <w:rPr>
                <w:rFonts w:ascii="仿宋" w:eastAsia="仿宋" w:hAnsi="仿宋"/>
                <w:sz w:val="32"/>
                <w:szCs w:val="32"/>
              </w:rPr>
            </w:pPr>
          </w:p>
        </w:tc>
      </w:tr>
      <w:tr w:rsidR="00894BBF" w:rsidTr="00737ABA">
        <w:trPr>
          <w:trHeight w:val="813"/>
          <w:jc w:val="center"/>
        </w:trPr>
        <w:tc>
          <w:tcPr>
            <w:tcW w:w="1687" w:type="dxa"/>
            <w:vAlign w:val="center"/>
          </w:tcPr>
          <w:p w:rsidR="00894BBF" w:rsidRDefault="00894BBF" w:rsidP="00894BBF">
            <w:pPr>
              <w:spacing w:beforeLines="100" w:before="312" w:afterLines="100" w:after="312" w:line="440" w:lineRule="exact"/>
              <w:jc w:val="center"/>
              <w:rPr>
                <w:rFonts w:ascii="仿宋" w:eastAsia="仿宋" w:hAnsi="仿宋"/>
                <w:sz w:val="32"/>
                <w:szCs w:val="32"/>
              </w:rPr>
            </w:pPr>
            <w:r>
              <w:rPr>
                <w:rFonts w:ascii="仿宋" w:eastAsia="仿宋" w:hAnsi="仿宋" w:hint="eastAsia"/>
                <w:sz w:val="32"/>
                <w:szCs w:val="32"/>
              </w:rPr>
              <w:t>告警期限</w:t>
            </w:r>
          </w:p>
        </w:tc>
        <w:tc>
          <w:tcPr>
            <w:tcW w:w="6590" w:type="dxa"/>
            <w:gridSpan w:val="7"/>
            <w:vAlign w:val="center"/>
          </w:tcPr>
          <w:p w:rsidR="00894BBF" w:rsidRDefault="00894BBF" w:rsidP="00894BBF">
            <w:pPr>
              <w:spacing w:beforeLines="100" w:before="312" w:afterLines="100" w:after="312" w:line="440" w:lineRule="exact"/>
              <w:jc w:val="center"/>
              <w:rPr>
                <w:rFonts w:ascii="仿宋" w:eastAsia="仿宋" w:hAnsi="仿宋"/>
                <w:sz w:val="32"/>
                <w:szCs w:val="32"/>
              </w:rPr>
            </w:pPr>
          </w:p>
        </w:tc>
      </w:tr>
      <w:tr w:rsidR="00894BBF" w:rsidTr="00737ABA">
        <w:trPr>
          <w:trHeight w:val="871"/>
          <w:jc w:val="center"/>
        </w:trPr>
        <w:tc>
          <w:tcPr>
            <w:tcW w:w="1687" w:type="dxa"/>
            <w:vAlign w:val="center"/>
          </w:tcPr>
          <w:p w:rsidR="00894BBF" w:rsidRDefault="00894BBF" w:rsidP="00894BBF">
            <w:pPr>
              <w:spacing w:beforeLines="100" w:before="312" w:afterLines="100" w:after="312" w:line="440" w:lineRule="exact"/>
              <w:jc w:val="center"/>
              <w:rPr>
                <w:rFonts w:ascii="仿宋" w:eastAsia="仿宋" w:hAnsi="仿宋"/>
                <w:sz w:val="32"/>
                <w:szCs w:val="32"/>
              </w:rPr>
            </w:pPr>
            <w:r>
              <w:rPr>
                <w:rFonts w:ascii="仿宋" w:eastAsia="仿宋" w:hAnsi="仿宋" w:hint="eastAsia"/>
                <w:sz w:val="32"/>
                <w:szCs w:val="32"/>
              </w:rPr>
              <w:t>提出单位</w:t>
            </w:r>
          </w:p>
        </w:tc>
        <w:tc>
          <w:tcPr>
            <w:tcW w:w="6590" w:type="dxa"/>
            <w:gridSpan w:val="7"/>
            <w:vAlign w:val="center"/>
          </w:tcPr>
          <w:p w:rsidR="00894BBF" w:rsidRDefault="00894BBF" w:rsidP="00894BBF">
            <w:pPr>
              <w:spacing w:beforeLines="100" w:before="312" w:afterLines="100" w:after="312" w:line="440" w:lineRule="exact"/>
              <w:jc w:val="center"/>
              <w:rPr>
                <w:rFonts w:ascii="仿宋" w:eastAsia="仿宋" w:hAnsi="仿宋"/>
                <w:sz w:val="32"/>
                <w:szCs w:val="32"/>
              </w:rPr>
            </w:pPr>
            <w:r>
              <w:rPr>
                <w:rFonts w:ascii="仿宋" w:eastAsia="仿宋" w:hAnsi="仿宋" w:hint="eastAsia"/>
                <w:sz w:val="32"/>
                <w:szCs w:val="32"/>
              </w:rPr>
              <w:t>内蒙古电力技术监督检测中心</w:t>
            </w:r>
          </w:p>
        </w:tc>
      </w:tr>
      <w:tr w:rsidR="00894BBF" w:rsidTr="00737ABA">
        <w:trPr>
          <w:cantSplit/>
          <w:trHeight w:val="1687"/>
          <w:jc w:val="center"/>
        </w:trPr>
        <w:tc>
          <w:tcPr>
            <w:tcW w:w="1687" w:type="dxa"/>
            <w:vAlign w:val="center"/>
          </w:tcPr>
          <w:p w:rsidR="00894BBF" w:rsidRDefault="00894BBF" w:rsidP="00894BBF">
            <w:pPr>
              <w:spacing w:beforeLines="100" w:before="312" w:afterLines="100" w:after="312" w:line="440" w:lineRule="exact"/>
              <w:jc w:val="center"/>
              <w:rPr>
                <w:rFonts w:ascii="仿宋" w:eastAsia="仿宋" w:hAnsi="仿宋"/>
                <w:sz w:val="32"/>
                <w:szCs w:val="32"/>
              </w:rPr>
            </w:pPr>
            <w:r>
              <w:rPr>
                <w:rFonts w:ascii="仿宋" w:eastAsia="仿宋" w:hAnsi="仿宋" w:hint="eastAsia"/>
                <w:sz w:val="32"/>
                <w:szCs w:val="32"/>
              </w:rPr>
              <w:lastRenderedPageBreak/>
              <w:t>提出</w:t>
            </w:r>
          </w:p>
        </w:tc>
        <w:tc>
          <w:tcPr>
            <w:tcW w:w="1120" w:type="dxa"/>
            <w:vAlign w:val="center"/>
          </w:tcPr>
          <w:p w:rsidR="00894BBF" w:rsidRDefault="00894BBF" w:rsidP="00894BBF">
            <w:pPr>
              <w:spacing w:beforeLines="100" w:before="312" w:afterLines="100" w:after="312" w:line="440" w:lineRule="exact"/>
              <w:jc w:val="center"/>
              <w:rPr>
                <w:rFonts w:ascii="仿宋" w:eastAsia="仿宋" w:hAnsi="仿宋"/>
                <w:sz w:val="32"/>
                <w:szCs w:val="32"/>
              </w:rPr>
            </w:pPr>
          </w:p>
        </w:tc>
        <w:tc>
          <w:tcPr>
            <w:tcW w:w="1191" w:type="dxa"/>
            <w:vAlign w:val="center"/>
          </w:tcPr>
          <w:p w:rsidR="00894BBF" w:rsidRDefault="00894BBF" w:rsidP="00894BBF">
            <w:pPr>
              <w:spacing w:beforeLines="100" w:before="312" w:afterLines="100" w:after="312" w:line="440" w:lineRule="exact"/>
              <w:jc w:val="center"/>
              <w:rPr>
                <w:rFonts w:ascii="仿宋" w:eastAsia="仿宋" w:hAnsi="仿宋"/>
                <w:sz w:val="32"/>
                <w:szCs w:val="32"/>
              </w:rPr>
            </w:pPr>
            <w:r>
              <w:rPr>
                <w:rFonts w:ascii="仿宋" w:eastAsia="仿宋" w:hAnsi="仿宋" w:hint="eastAsia"/>
                <w:sz w:val="32"/>
                <w:szCs w:val="32"/>
              </w:rPr>
              <w:t>审核</w:t>
            </w:r>
          </w:p>
        </w:tc>
        <w:tc>
          <w:tcPr>
            <w:tcW w:w="1302" w:type="dxa"/>
            <w:gridSpan w:val="2"/>
            <w:vAlign w:val="center"/>
          </w:tcPr>
          <w:p w:rsidR="00894BBF" w:rsidRDefault="00894BBF" w:rsidP="00894BBF">
            <w:pPr>
              <w:spacing w:beforeLines="100" w:before="312" w:afterLines="100" w:after="312" w:line="440" w:lineRule="exact"/>
              <w:jc w:val="center"/>
              <w:rPr>
                <w:rFonts w:ascii="仿宋" w:eastAsia="仿宋" w:hAnsi="仿宋"/>
                <w:sz w:val="32"/>
                <w:szCs w:val="32"/>
              </w:rPr>
            </w:pPr>
          </w:p>
        </w:tc>
        <w:tc>
          <w:tcPr>
            <w:tcW w:w="1703" w:type="dxa"/>
            <w:gridSpan w:val="2"/>
            <w:vAlign w:val="center"/>
          </w:tcPr>
          <w:p w:rsidR="00894BBF" w:rsidRDefault="00894BBF" w:rsidP="00894BBF">
            <w:pPr>
              <w:spacing w:beforeLines="100" w:before="312" w:afterLines="100" w:after="312" w:line="440" w:lineRule="exact"/>
              <w:jc w:val="center"/>
              <w:rPr>
                <w:rFonts w:ascii="仿宋" w:eastAsia="仿宋" w:hAnsi="仿宋"/>
                <w:sz w:val="32"/>
                <w:szCs w:val="32"/>
              </w:rPr>
            </w:pPr>
            <w:r>
              <w:rPr>
                <w:rFonts w:ascii="仿宋" w:eastAsia="仿宋" w:hAnsi="仿宋" w:hint="eastAsia"/>
                <w:sz w:val="32"/>
                <w:szCs w:val="32"/>
              </w:rPr>
              <w:t>签发</w:t>
            </w:r>
          </w:p>
          <w:p w:rsidR="00894BBF" w:rsidRDefault="00894BBF" w:rsidP="00894BBF">
            <w:pPr>
              <w:spacing w:beforeLines="100" w:before="312" w:afterLines="100" w:after="312" w:line="440" w:lineRule="exact"/>
              <w:rPr>
                <w:rFonts w:ascii="仿宋" w:eastAsia="仿宋" w:hAnsi="仿宋"/>
                <w:sz w:val="32"/>
                <w:szCs w:val="32"/>
              </w:rPr>
            </w:pPr>
            <w:r>
              <w:rPr>
                <w:rFonts w:ascii="仿宋" w:eastAsia="仿宋" w:hAnsi="仿宋" w:hint="eastAsia"/>
                <w:sz w:val="32"/>
                <w:szCs w:val="32"/>
              </w:rPr>
              <w:t>（单位章）</w:t>
            </w:r>
          </w:p>
        </w:tc>
        <w:tc>
          <w:tcPr>
            <w:tcW w:w="1274" w:type="dxa"/>
            <w:vAlign w:val="center"/>
          </w:tcPr>
          <w:p w:rsidR="00894BBF" w:rsidRDefault="00894BBF" w:rsidP="00894BBF">
            <w:pPr>
              <w:spacing w:beforeLines="100" w:before="312" w:afterLines="100" w:after="312" w:line="440" w:lineRule="exact"/>
              <w:jc w:val="center"/>
              <w:rPr>
                <w:rFonts w:ascii="仿宋" w:eastAsia="仿宋" w:hAnsi="仿宋"/>
                <w:sz w:val="32"/>
                <w:szCs w:val="32"/>
              </w:rPr>
            </w:pPr>
          </w:p>
        </w:tc>
      </w:tr>
      <w:tr w:rsidR="00894BBF" w:rsidTr="00737ABA">
        <w:trPr>
          <w:cantSplit/>
          <w:trHeight w:val="1282"/>
          <w:jc w:val="center"/>
        </w:trPr>
        <w:tc>
          <w:tcPr>
            <w:tcW w:w="1687" w:type="dxa"/>
            <w:vAlign w:val="center"/>
          </w:tcPr>
          <w:p w:rsidR="00894BBF" w:rsidRDefault="00894BBF" w:rsidP="00894BBF">
            <w:pPr>
              <w:spacing w:beforeLines="100" w:before="312" w:afterLines="100" w:after="312" w:line="440" w:lineRule="exact"/>
              <w:jc w:val="center"/>
              <w:rPr>
                <w:rFonts w:ascii="仿宋" w:eastAsia="仿宋" w:hAnsi="仿宋"/>
                <w:sz w:val="32"/>
                <w:szCs w:val="32"/>
              </w:rPr>
            </w:pPr>
            <w:r>
              <w:rPr>
                <w:rFonts w:ascii="仿宋" w:eastAsia="仿宋" w:hAnsi="仿宋" w:hint="eastAsia"/>
                <w:sz w:val="32"/>
                <w:szCs w:val="32"/>
              </w:rPr>
              <w:t>备  注</w:t>
            </w:r>
          </w:p>
        </w:tc>
        <w:tc>
          <w:tcPr>
            <w:tcW w:w="6590" w:type="dxa"/>
            <w:gridSpan w:val="7"/>
            <w:vAlign w:val="center"/>
          </w:tcPr>
          <w:p w:rsidR="00894BBF" w:rsidRDefault="00894BBF" w:rsidP="00894BBF">
            <w:pPr>
              <w:spacing w:beforeLines="100" w:before="312" w:afterLines="100" w:after="312" w:line="440" w:lineRule="exact"/>
              <w:jc w:val="center"/>
              <w:rPr>
                <w:rFonts w:ascii="仿宋" w:eastAsia="仿宋" w:hAnsi="仿宋"/>
                <w:sz w:val="32"/>
                <w:szCs w:val="32"/>
              </w:rPr>
            </w:pPr>
          </w:p>
        </w:tc>
      </w:tr>
    </w:tbl>
    <w:p w:rsidR="00894BBF" w:rsidRDefault="00894BBF" w:rsidP="00894BBF">
      <w:pPr>
        <w:jc w:val="center"/>
        <w:rPr>
          <w:rFonts w:ascii="方正小标宋简体" w:eastAsia="方正小标宋简体" w:hAnsi="仿宋" w:hint="eastAsia"/>
          <w:sz w:val="44"/>
          <w:szCs w:val="44"/>
        </w:rPr>
      </w:pPr>
      <w:r>
        <w:rPr>
          <w:rFonts w:ascii="方正小标宋简体" w:eastAsia="方正小标宋简体" w:hAnsi="仿宋" w:hint="eastAsia"/>
          <w:bCs/>
          <w:sz w:val="44"/>
          <w:szCs w:val="44"/>
        </w:rPr>
        <w:t>技术监督告警回执单</w:t>
      </w:r>
    </w:p>
    <w:p w:rsidR="00894BBF" w:rsidRDefault="00894BBF" w:rsidP="00894BBF">
      <w:pPr>
        <w:rPr>
          <w:rFonts w:ascii="仿宋_GB2312" w:eastAsia="仿宋_GB2312" w:hAnsi="仿宋" w:hint="eastAsia"/>
          <w:szCs w:val="21"/>
        </w:rPr>
      </w:pPr>
      <w:r>
        <w:rPr>
          <w:rFonts w:ascii="仿宋_GB2312" w:eastAsia="仿宋_GB2312" w:hAnsi="仿宋" w:hint="eastAsia"/>
        </w:rPr>
        <w:t xml:space="preserve"> </w:t>
      </w:r>
    </w:p>
    <w:p w:rsidR="00894BBF" w:rsidRDefault="00894BBF" w:rsidP="00894BBF">
      <w:pPr>
        <w:rPr>
          <w:rFonts w:ascii="仿宋" w:eastAsia="仿宋" w:hAnsi="仿宋" w:hint="eastAsia"/>
          <w:sz w:val="32"/>
          <w:szCs w:val="32"/>
        </w:rPr>
      </w:pPr>
      <w:r>
        <w:rPr>
          <w:rFonts w:ascii="仿宋" w:eastAsia="仿宋" w:hAnsi="仿宋" w:hint="eastAsia"/>
          <w:sz w:val="32"/>
          <w:szCs w:val="32"/>
        </w:rPr>
        <w:t>编号：20XX-专业代码-XXX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2"/>
        <w:gridCol w:w="2555"/>
        <w:gridCol w:w="154"/>
        <w:gridCol w:w="1573"/>
        <w:gridCol w:w="106"/>
        <w:gridCol w:w="2359"/>
      </w:tblGrid>
      <w:tr w:rsidR="00894BBF" w:rsidTr="00737ABA">
        <w:trPr>
          <w:trHeight w:val="907"/>
          <w:jc w:val="center"/>
        </w:trPr>
        <w:tc>
          <w:tcPr>
            <w:tcW w:w="1562" w:type="dxa"/>
            <w:vAlign w:val="center"/>
          </w:tcPr>
          <w:p w:rsidR="00894BBF" w:rsidRDefault="00894BBF" w:rsidP="00894BBF">
            <w:pPr>
              <w:spacing w:beforeLines="50" w:before="156" w:afterLines="50" w:after="156" w:line="440" w:lineRule="exact"/>
              <w:jc w:val="center"/>
              <w:rPr>
                <w:rFonts w:ascii="仿宋" w:eastAsia="仿宋" w:hAnsi="仿宋"/>
                <w:sz w:val="32"/>
                <w:szCs w:val="32"/>
              </w:rPr>
            </w:pPr>
            <w:r>
              <w:rPr>
                <w:rFonts w:ascii="仿宋" w:eastAsia="仿宋" w:hAnsi="仿宋" w:hint="eastAsia"/>
                <w:sz w:val="32"/>
                <w:szCs w:val="32"/>
              </w:rPr>
              <w:t>告警等级</w:t>
            </w:r>
          </w:p>
        </w:tc>
        <w:tc>
          <w:tcPr>
            <w:tcW w:w="2709" w:type="dxa"/>
            <w:gridSpan w:val="2"/>
            <w:vAlign w:val="center"/>
          </w:tcPr>
          <w:p w:rsidR="00894BBF" w:rsidRDefault="00894BBF" w:rsidP="00894BBF">
            <w:pPr>
              <w:spacing w:beforeLines="50" w:before="156" w:afterLines="50" w:after="156" w:line="440" w:lineRule="exact"/>
              <w:jc w:val="center"/>
              <w:rPr>
                <w:rFonts w:ascii="仿宋" w:eastAsia="仿宋" w:hAnsi="仿宋"/>
                <w:sz w:val="32"/>
                <w:szCs w:val="32"/>
              </w:rPr>
            </w:pPr>
          </w:p>
        </w:tc>
        <w:tc>
          <w:tcPr>
            <w:tcW w:w="1573" w:type="dxa"/>
            <w:vAlign w:val="center"/>
          </w:tcPr>
          <w:p w:rsidR="00894BBF" w:rsidRDefault="00894BBF" w:rsidP="00894BBF">
            <w:pPr>
              <w:spacing w:beforeLines="50" w:before="156" w:afterLines="50" w:after="156" w:line="440" w:lineRule="exact"/>
              <w:jc w:val="center"/>
              <w:rPr>
                <w:rFonts w:ascii="仿宋" w:eastAsia="仿宋" w:hAnsi="仿宋"/>
                <w:sz w:val="32"/>
                <w:szCs w:val="32"/>
              </w:rPr>
            </w:pPr>
            <w:r>
              <w:rPr>
                <w:rFonts w:ascii="仿宋" w:eastAsia="仿宋" w:hAnsi="仿宋" w:hint="eastAsia"/>
                <w:sz w:val="32"/>
                <w:szCs w:val="32"/>
              </w:rPr>
              <w:t>回执时间</w:t>
            </w:r>
          </w:p>
        </w:tc>
        <w:tc>
          <w:tcPr>
            <w:tcW w:w="2465" w:type="dxa"/>
            <w:gridSpan w:val="2"/>
            <w:vAlign w:val="center"/>
          </w:tcPr>
          <w:p w:rsidR="00894BBF" w:rsidRDefault="00894BBF" w:rsidP="00894BBF">
            <w:pPr>
              <w:spacing w:beforeLines="50" w:before="156" w:afterLines="50" w:after="156" w:line="440" w:lineRule="exact"/>
              <w:ind w:firstLineChars="200" w:firstLine="640"/>
              <w:rPr>
                <w:rFonts w:ascii="仿宋" w:eastAsia="仿宋" w:hAnsi="仿宋"/>
                <w:sz w:val="32"/>
                <w:szCs w:val="32"/>
              </w:rPr>
            </w:pPr>
            <w:r>
              <w:rPr>
                <w:rFonts w:ascii="仿宋" w:eastAsia="仿宋" w:hAnsi="仿宋" w:hint="eastAsia"/>
                <w:sz w:val="32"/>
                <w:szCs w:val="32"/>
              </w:rPr>
              <w:t>年  月  日</w:t>
            </w:r>
          </w:p>
        </w:tc>
      </w:tr>
      <w:tr w:rsidR="00894BBF" w:rsidTr="00737ABA">
        <w:trPr>
          <w:trHeight w:val="689"/>
          <w:jc w:val="center"/>
        </w:trPr>
        <w:tc>
          <w:tcPr>
            <w:tcW w:w="1562" w:type="dxa"/>
            <w:vAlign w:val="center"/>
          </w:tcPr>
          <w:p w:rsidR="00894BBF" w:rsidRDefault="00894BBF" w:rsidP="00894BBF">
            <w:pPr>
              <w:spacing w:beforeLines="50" w:before="156" w:afterLines="50" w:after="156" w:line="440" w:lineRule="exact"/>
              <w:jc w:val="center"/>
              <w:rPr>
                <w:rFonts w:ascii="仿宋" w:eastAsia="仿宋" w:hAnsi="仿宋"/>
                <w:dstrike/>
                <w:sz w:val="32"/>
                <w:szCs w:val="32"/>
              </w:rPr>
            </w:pPr>
            <w:r>
              <w:rPr>
                <w:rFonts w:ascii="仿宋" w:eastAsia="仿宋" w:hAnsi="仿宋" w:hint="eastAsia"/>
                <w:sz w:val="32"/>
                <w:szCs w:val="32"/>
              </w:rPr>
              <w:t>单位名称</w:t>
            </w:r>
          </w:p>
        </w:tc>
        <w:tc>
          <w:tcPr>
            <w:tcW w:w="6747" w:type="dxa"/>
            <w:gridSpan w:val="5"/>
            <w:vAlign w:val="center"/>
          </w:tcPr>
          <w:p w:rsidR="00894BBF" w:rsidRDefault="00894BBF" w:rsidP="00894BBF">
            <w:pPr>
              <w:spacing w:beforeLines="50" w:before="156" w:afterLines="50" w:after="156" w:line="440" w:lineRule="exact"/>
              <w:jc w:val="center"/>
              <w:rPr>
                <w:rFonts w:ascii="仿宋" w:eastAsia="仿宋" w:hAnsi="仿宋"/>
                <w:dstrike/>
                <w:sz w:val="32"/>
                <w:szCs w:val="32"/>
              </w:rPr>
            </w:pPr>
          </w:p>
        </w:tc>
      </w:tr>
      <w:tr w:rsidR="00894BBF" w:rsidTr="00737ABA">
        <w:trPr>
          <w:trHeight w:val="2472"/>
          <w:jc w:val="center"/>
        </w:trPr>
        <w:tc>
          <w:tcPr>
            <w:tcW w:w="1562" w:type="dxa"/>
            <w:vAlign w:val="center"/>
          </w:tcPr>
          <w:p w:rsidR="00894BBF" w:rsidRDefault="00894BBF" w:rsidP="00894BBF">
            <w:pPr>
              <w:spacing w:beforeLines="100" w:before="312" w:afterLines="100" w:after="312" w:line="280" w:lineRule="exact"/>
              <w:jc w:val="center"/>
              <w:rPr>
                <w:rFonts w:ascii="仿宋" w:eastAsia="仿宋" w:hAnsi="仿宋"/>
                <w:sz w:val="32"/>
                <w:szCs w:val="32"/>
              </w:rPr>
            </w:pPr>
            <w:r>
              <w:rPr>
                <w:rFonts w:ascii="仿宋" w:eastAsia="仿宋" w:hAnsi="仿宋" w:hint="eastAsia"/>
                <w:sz w:val="32"/>
                <w:szCs w:val="32"/>
              </w:rPr>
              <w:t>告警情况</w:t>
            </w:r>
          </w:p>
        </w:tc>
        <w:tc>
          <w:tcPr>
            <w:tcW w:w="6747" w:type="dxa"/>
            <w:gridSpan w:val="5"/>
            <w:vAlign w:val="center"/>
          </w:tcPr>
          <w:p w:rsidR="00894BBF" w:rsidRDefault="00894BBF" w:rsidP="00894BBF">
            <w:pPr>
              <w:spacing w:beforeLines="100" w:before="312" w:afterLines="100" w:after="312" w:line="280" w:lineRule="exact"/>
              <w:jc w:val="center"/>
              <w:rPr>
                <w:rFonts w:ascii="仿宋" w:eastAsia="仿宋" w:hAnsi="仿宋"/>
                <w:sz w:val="32"/>
                <w:szCs w:val="32"/>
              </w:rPr>
            </w:pPr>
          </w:p>
          <w:p w:rsidR="00894BBF" w:rsidRDefault="00894BBF" w:rsidP="00894BBF">
            <w:pPr>
              <w:spacing w:beforeLines="100" w:before="312" w:afterLines="100" w:after="312" w:line="280" w:lineRule="exact"/>
              <w:jc w:val="center"/>
              <w:rPr>
                <w:rFonts w:ascii="仿宋" w:eastAsia="仿宋" w:hAnsi="仿宋" w:hint="eastAsia"/>
                <w:sz w:val="32"/>
                <w:szCs w:val="32"/>
              </w:rPr>
            </w:pPr>
          </w:p>
          <w:p w:rsidR="00894BBF" w:rsidRDefault="00894BBF" w:rsidP="00894BBF">
            <w:pPr>
              <w:spacing w:beforeLines="100" w:before="312" w:afterLines="100" w:after="312" w:line="280" w:lineRule="exact"/>
              <w:rPr>
                <w:rFonts w:ascii="仿宋" w:eastAsia="仿宋" w:hAnsi="仿宋"/>
                <w:sz w:val="32"/>
                <w:szCs w:val="32"/>
              </w:rPr>
            </w:pPr>
          </w:p>
        </w:tc>
      </w:tr>
      <w:tr w:rsidR="00894BBF" w:rsidTr="00737ABA">
        <w:trPr>
          <w:trHeight w:val="2267"/>
          <w:jc w:val="center"/>
        </w:trPr>
        <w:tc>
          <w:tcPr>
            <w:tcW w:w="1562" w:type="dxa"/>
            <w:vAlign w:val="center"/>
          </w:tcPr>
          <w:p w:rsidR="00894BBF" w:rsidRDefault="00894BBF" w:rsidP="00894BBF">
            <w:pPr>
              <w:spacing w:beforeLines="100" w:before="312" w:afterLines="100" w:after="312" w:line="280" w:lineRule="exact"/>
              <w:jc w:val="center"/>
              <w:rPr>
                <w:rFonts w:ascii="仿宋" w:eastAsia="仿宋" w:hAnsi="仿宋"/>
                <w:sz w:val="32"/>
                <w:szCs w:val="32"/>
              </w:rPr>
            </w:pPr>
            <w:r>
              <w:rPr>
                <w:rFonts w:ascii="仿宋" w:eastAsia="仿宋" w:hAnsi="仿宋" w:hint="eastAsia"/>
                <w:sz w:val="32"/>
                <w:szCs w:val="32"/>
              </w:rPr>
              <w:t>整改措施</w:t>
            </w:r>
          </w:p>
        </w:tc>
        <w:tc>
          <w:tcPr>
            <w:tcW w:w="6747" w:type="dxa"/>
            <w:gridSpan w:val="5"/>
            <w:vAlign w:val="center"/>
          </w:tcPr>
          <w:p w:rsidR="00894BBF" w:rsidRDefault="00894BBF" w:rsidP="00894BBF">
            <w:pPr>
              <w:spacing w:beforeLines="100" w:before="312" w:afterLines="100" w:after="312" w:line="280" w:lineRule="exact"/>
              <w:jc w:val="center"/>
              <w:rPr>
                <w:rFonts w:ascii="仿宋" w:eastAsia="仿宋" w:hAnsi="仿宋"/>
                <w:sz w:val="32"/>
                <w:szCs w:val="32"/>
              </w:rPr>
            </w:pPr>
          </w:p>
          <w:p w:rsidR="00894BBF" w:rsidRDefault="00894BBF" w:rsidP="00894BBF">
            <w:pPr>
              <w:spacing w:beforeLines="100" w:before="312" w:afterLines="100" w:after="312" w:line="280" w:lineRule="exact"/>
              <w:jc w:val="center"/>
              <w:rPr>
                <w:rFonts w:ascii="仿宋" w:eastAsia="仿宋" w:hAnsi="仿宋" w:hint="eastAsia"/>
                <w:sz w:val="32"/>
                <w:szCs w:val="32"/>
              </w:rPr>
            </w:pPr>
          </w:p>
          <w:p w:rsidR="00894BBF" w:rsidRDefault="00894BBF" w:rsidP="00894BBF">
            <w:pPr>
              <w:spacing w:beforeLines="100" w:before="312" w:afterLines="100" w:after="312" w:line="280" w:lineRule="exact"/>
              <w:rPr>
                <w:rFonts w:ascii="仿宋" w:eastAsia="仿宋" w:hAnsi="仿宋"/>
                <w:sz w:val="32"/>
                <w:szCs w:val="32"/>
              </w:rPr>
            </w:pPr>
          </w:p>
        </w:tc>
      </w:tr>
      <w:tr w:rsidR="00894BBF" w:rsidTr="00737ABA">
        <w:trPr>
          <w:trHeight w:val="907"/>
          <w:jc w:val="center"/>
        </w:trPr>
        <w:tc>
          <w:tcPr>
            <w:tcW w:w="1562" w:type="dxa"/>
            <w:vAlign w:val="center"/>
          </w:tcPr>
          <w:p w:rsidR="00894BBF" w:rsidRDefault="00894BBF" w:rsidP="00894BBF">
            <w:pPr>
              <w:spacing w:beforeLines="50" w:before="156" w:afterLines="50" w:after="156" w:line="280" w:lineRule="exact"/>
              <w:jc w:val="center"/>
              <w:rPr>
                <w:rFonts w:ascii="仿宋" w:eastAsia="仿宋" w:hAnsi="仿宋"/>
                <w:sz w:val="32"/>
                <w:szCs w:val="32"/>
              </w:rPr>
            </w:pPr>
            <w:r>
              <w:rPr>
                <w:rFonts w:ascii="仿宋" w:eastAsia="仿宋" w:hAnsi="仿宋" w:hint="eastAsia"/>
                <w:sz w:val="32"/>
                <w:szCs w:val="32"/>
              </w:rPr>
              <w:t>整改期限</w:t>
            </w:r>
          </w:p>
        </w:tc>
        <w:tc>
          <w:tcPr>
            <w:tcW w:w="6747" w:type="dxa"/>
            <w:gridSpan w:val="5"/>
            <w:vAlign w:val="center"/>
          </w:tcPr>
          <w:p w:rsidR="00894BBF" w:rsidRDefault="00894BBF" w:rsidP="00894BBF">
            <w:pPr>
              <w:spacing w:beforeLines="50" w:before="156" w:afterLines="50" w:after="156" w:line="280" w:lineRule="exact"/>
              <w:jc w:val="center"/>
              <w:rPr>
                <w:rFonts w:ascii="仿宋" w:eastAsia="仿宋" w:hAnsi="仿宋"/>
                <w:sz w:val="32"/>
                <w:szCs w:val="32"/>
              </w:rPr>
            </w:pPr>
          </w:p>
        </w:tc>
      </w:tr>
      <w:tr w:rsidR="00894BBF" w:rsidTr="00737ABA">
        <w:trPr>
          <w:cantSplit/>
          <w:trHeight w:val="1701"/>
          <w:jc w:val="center"/>
        </w:trPr>
        <w:tc>
          <w:tcPr>
            <w:tcW w:w="1562" w:type="dxa"/>
            <w:vAlign w:val="center"/>
          </w:tcPr>
          <w:p w:rsidR="00894BBF" w:rsidRDefault="00894BBF" w:rsidP="00894BBF">
            <w:pPr>
              <w:spacing w:beforeLines="100" w:before="312" w:afterLines="100" w:after="312" w:line="280" w:lineRule="exact"/>
              <w:ind w:leftChars="-50" w:left="-105" w:rightChars="-50" w:right="-105"/>
              <w:jc w:val="center"/>
              <w:rPr>
                <w:rFonts w:ascii="仿宋" w:eastAsia="仿宋" w:hAnsi="仿宋" w:hint="eastAsia"/>
                <w:sz w:val="32"/>
                <w:szCs w:val="32"/>
              </w:rPr>
            </w:pPr>
            <w:r>
              <w:rPr>
                <w:rFonts w:ascii="仿宋" w:eastAsia="仿宋" w:hAnsi="仿宋" w:hint="eastAsia"/>
                <w:sz w:val="32"/>
                <w:szCs w:val="32"/>
              </w:rPr>
              <w:lastRenderedPageBreak/>
              <w:t>整改</w:t>
            </w:r>
          </w:p>
          <w:p w:rsidR="00894BBF" w:rsidRDefault="00894BBF" w:rsidP="00894BBF">
            <w:pPr>
              <w:spacing w:beforeLines="100" w:before="312" w:afterLines="100" w:after="312" w:line="280" w:lineRule="exact"/>
              <w:ind w:leftChars="-50" w:left="-105" w:rightChars="-50" w:right="-105"/>
              <w:jc w:val="center"/>
              <w:rPr>
                <w:rFonts w:ascii="仿宋" w:eastAsia="仿宋" w:hAnsi="仿宋"/>
                <w:sz w:val="32"/>
                <w:szCs w:val="32"/>
              </w:rPr>
            </w:pPr>
            <w:r>
              <w:rPr>
                <w:rFonts w:ascii="仿宋" w:eastAsia="仿宋" w:hAnsi="仿宋" w:hint="eastAsia"/>
                <w:sz w:val="32"/>
                <w:szCs w:val="32"/>
              </w:rPr>
              <w:t>负责人</w:t>
            </w:r>
          </w:p>
        </w:tc>
        <w:tc>
          <w:tcPr>
            <w:tcW w:w="2555" w:type="dxa"/>
            <w:vAlign w:val="center"/>
          </w:tcPr>
          <w:p w:rsidR="00894BBF" w:rsidRDefault="00894BBF" w:rsidP="00894BBF">
            <w:pPr>
              <w:spacing w:beforeLines="100" w:before="312" w:afterLines="100" w:after="312" w:line="280" w:lineRule="exact"/>
              <w:jc w:val="center"/>
              <w:rPr>
                <w:rFonts w:ascii="仿宋" w:eastAsia="仿宋" w:hAnsi="仿宋"/>
                <w:sz w:val="32"/>
                <w:szCs w:val="32"/>
              </w:rPr>
            </w:pPr>
          </w:p>
        </w:tc>
        <w:tc>
          <w:tcPr>
            <w:tcW w:w="1833" w:type="dxa"/>
            <w:gridSpan w:val="3"/>
            <w:vAlign w:val="center"/>
          </w:tcPr>
          <w:p w:rsidR="00894BBF" w:rsidRDefault="00894BBF" w:rsidP="00894BBF">
            <w:pPr>
              <w:spacing w:beforeLines="100" w:before="312" w:afterLines="100" w:after="312" w:line="280" w:lineRule="exact"/>
              <w:jc w:val="center"/>
              <w:rPr>
                <w:rFonts w:ascii="仿宋" w:eastAsia="仿宋" w:hAnsi="仿宋"/>
                <w:sz w:val="32"/>
                <w:szCs w:val="32"/>
              </w:rPr>
            </w:pPr>
            <w:r>
              <w:rPr>
                <w:rFonts w:ascii="仿宋" w:eastAsia="仿宋" w:hAnsi="仿宋" w:hint="eastAsia"/>
                <w:sz w:val="32"/>
                <w:szCs w:val="32"/>
              </w:rPr>
              <w:t>签发人</w:t>
            </w:r>
          </w:p>
          <w:p w:rsidR="00894BBF" w:rsidRDefault="00894BBF" w:rsidP="00894BBF">
            <w:pPr>
              <w:spacing w:beforeLines="100" w:before="312" w:afterLines="100" w:after="312" w:line="280" w:lineRule="exact"/>
              <w:jc w:val="center"/>
              <w:rPr>
                <w:rFonts w:ascii="仿宋" w:eastAsia="仿宋" w:hAnsi="仿宋"/>
                <w:sz w:val="32"/>
                <w:szCs w:val="32"/>
              </w:rPr>
            </w:pPr>
            <w:r>
              <w:rPr>
                <w:rFonts w:ascii="仿宋" w:eastAsia="仿宋" w:hAnsi="仿宋" w:hint="eastAsia"/>
                <w:sz w:val="32"/>
                <w:szCs w:val="32"/>
              </w:rPr>
              <w:t>（单位章）</w:t>
            </w:r>
          </w:p>
        </w:tc>
        <w:tc>
          <w:tcPr>
            <w:tcW w:w="2359" w:type="dxa"/>
            <w:vAlign w:val="center"/>
          </w:tcPr>
          <w:p w:rsidR="00894BBF" w:rsidRDefault="00894BBF" w:rsidP="00894BBF">
            <w:pPr>
              <w:spacing w:beforeLines="100" w:before="312" w:afterLines="100" w:after="312" w:line="280" w:lineRule="exact"/>
              <w:jc w:val="center"/>
              <w:rPr>
                <w:rFonts w:ascii="仿宋" w:eastAsia="仿宋" w:hAnsi="仿宋"/>
                <w:sz w:val="32"/>
                <w:szCs w:val="32"/>
              </w:rPr>
            </w:pPr>
          </w:p>
        </w:tc>
      </w:tr>
      <w:tr w:rsidR="00894BBF" w:rsidTr="00737ABA">
        <w:trPr>
          <w:trHeight w:val="907"/>
          <w:jc w:val="center"/>
        </w:trPr>
        <w:tc>
          <w:tcPr>
            <w:tcW w:w="1562" w:type="dxa"/>
            <w:vAlign w:val="center"/>
          </w:tcPr>
          <w:p w:rsidR="00894BBF" w:rsidRDefault="00894BBF" w:rsidP="00737ABA">
            <w:pPr>
              <w:spacing w:line="560" w:lineRule="exact"/>
              <w:jc w:val="center"/>
              <w:rPr>
                <w:rFonts w:ascii="仿宋" w:eastAsia="仿宋" w:hAnsi="仿宋"/>
                <w:sz w:val="32"/>
                <w:szCs w:val="32"/>
              </w:rPr>
            </w:pPr>
            <w:r>
              <w:rPr>
                <w:rFonts w:ascii="仿宋" w:eastAsia="仿宋" w:hAnsi="仿宋" w:hint="eastAsia"/>
                <w:sz w:val="32"/>
                <w:szCs w:val="32"/>
              </w:rPr>
              <w:t>备  注</w:t>
            </w:r>
          </w:p>
        </w:tc>
        <w:tc>
          <w:tcPr>
            <w:tcW w:w="6747" w:type="dxa"/>
            <w:gridSpan w:val="5"/>
            <w:vAlign w:val="center"/>
          </w:tcPr>
          <w:p w:rsidR="00894BBF" w:rsidRDefault="00894BBF" w:rsidP="00894BBF">
            <w:pPr>
              <w:spacing w:beforeLines="100" w:before="312" w:afterLines="100" w:after="312" w:line="280" w:lineRule="exact"/>
              <w:rPr>
                <w:rFonts w:ascii="仿宋" w:eastAsia="仿宋" w:hAnsi="仿宋"/>
                <w:sz w:val="32"/>
                <w:szCs w:val="32"/>
              </w:rPr>
            </w:pPr>
          </w:p>
        </w:tc>
      </w:tr>
    </w:tbl>
    <w:p w:rsidR="00894BBF" w:rsidRDefault="00894BBF" w:rsidP="00894BBF">
      <w:pPr>
        <w:jc w:val="center"/>
        <w:rPr>
          <w:rFonts w:ascii="方正小标宋简体" w:eastAsia="方正小标宋简体" w:hAnsi="仿宋" w:hint="eastAsia"/>
          <w:bCs/>
          <w:sz w:val="44"/>
          <w:szCs w:val="44"/>
        </w:rPr>
      </w:pPr>
    </w:p>
    <w:p w:rsidR="00894BBF" w:rsidRDefault="00894BBF" w:rsidP="00894BBF">
      <w:pPr>
        <w:jc w:val="center"/>
        <w:rPr>
          <w:rFonts w:ascii="方正小标宋简体" w:eastAsia="方正小标宋简体" w:hAnsi="仿宋" w:hint="eastAsia"/>
          <w:sz w:val="44"/>
          <w:szCs w:val="44"/>
        </w:rPr>
      </w:pPr>
      <w:r>
        <w:rPr>
          <w:rFonts w:ascii="方正小标宋简体" w:eastAsia="方正小标宋简体" w:hAnsi="仿宋" w:hint="eastAsia"/>
          <w:bCs/>
          <w:sz w:val="44"/>
          <w:szCs w:val="44"/>
        </w:rPr>
        <w:t>技术监督告警整改单</w:t>
      </w:r>
    </w:p>
    <w:p w:rsidR="00894BBF" w:rsidRDefault="00894BBF" w:rsidP="00894BBF">
      <w:pPr>
        <w:rPr>
          <w:rFonts w:ascii="仿宋_GB2312" w:eastAsia="仿宋_GB2312" w:hAnsi="仿宋" w:hint="eastAsia"/>
          <w:szCs w:val="21"/>
        </w:rPr>
      </w:pPr>
      <w:r>
        <w:rPr>
          <w:rFonts w:ascii="仿宋_GB2312" w:eastAsia="仿宋_GB2312" w:hAnsi="仿宋" w:hint="eastAsia"/>
        </w:rPr>
        <w:t xml:space="preserve"> </w:t>
      </w:r>
    </w:p>
    <w:p w:rsidR="00894BBF" w:rsidRDefault="00894BBF" w:rsidP="00894BBF">
      <w:pPr>
        <w:rPr>
          <w:rFonts w:ascii="仿宋" w:eastAsia="仿宋" w:hAnsi="仿宋" w:hint="eastAsia"/>
          <w:sz w:val="32"/>
          <w:szCs w:val="32"/>
        </w:rPr>
      </w:pPr>
      <w:r>
        <w:rPr>
          <w:rFonts w:ascii="仿宋" w:eastAsia="仿宋" w:hAnsi="仿宋" w:hint="eastAsia"/>
          <w:sz w:val="32"/>
          <w:szCs w:val="32"/>
        </w:rPr>
        <w:t>编号：20XX-专业代码-XXX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6"/>
        <w:gridCol w:w="1345"/>
        <w:gridCol w:w="567"/>
        <w:gridCol w:w="709"/>
        <w:gridCol w:w="1442"/>
        <w:gridCol w:w="117"/>
        <w:gridCol w:w="1291"/>
        <w:gridCol w:w="1119"/>
      </w:tblGrid>
      <w:tr w:rsidR="00894BBF" w:rsidTr="00737ABA">
        <w:trPr>
          <w:trHeight w:val="907"/>
          <w:jc w:val="center"/>
        </w:trPr>
        <w:tc>
          <w:tcPr>
            <w:tcW w:w="1686" w:type="dxa"/>
            <w:vAlign w:val="center"/>
          </w:tcPr>
          <w:p w:rsidR="00894BBF" w:rsidRDefault="00894BBF" w:rsidP="00894BBF">
            <w:pPr>
              <w:spacing w:beforeLines="50" w:before="156" w:afterLines="50" w:after="156" w:line="440" w:lineRule="exact"/>
              <w:jc w:val="center"/>
              <w:rPr>
                <w:rFonts w:ascii="仿宋" w:eastAsia="仿宋" w:hAnsi="仿宋"/>
                <w:sz w:val="32"/>
                <w:szCs w:val="32"/>
              </w:rPr>
            </w:pPr>
            <w:r>
              <w:rPr>
                <w:rFonts w:ascii="仿宋" w:eastAsia="仿宋" w:hAnsi="仿宋" w:hint="eastAsia"/>
                <w:sz w:val="32"/>
                <w:szCs w:val="32"/>
              </w:rPr>
              <w:t>告警等级</w:t>
            </w:r>
          </w:p>
        </w:tc>
        <w:tc>
          <w:tcPr>
            <w:tcW w:w="1912" w:type="dxa"/>
            <w:gridSpan w:val="2"/>
            <w:vAlign w:val="center"/>
          </w:tcPr>
          <w:p w:rsidR="00894BBF" w:rsidRDefault="00894BBF" w:rsidP="00894BBF">
            <w:pPr>
              <w:spacing w:beforeLines="50" w:before="156" w:afterLines="50" w:after="156" w:line="440" w:lineRule="exact"/>
              <w:jc w:val="center"/>
              <w:rPr>
                <w:rFonts w:ascii="仿宋" w:eastAsia="仿宋" w:hAnsi="仿宋"/>
                <w:sz w:val="32"/>
                <w:szCs w:val="32"/>
              </w:rPr>
            </w:pPr>
          </w:p>
        </w:tc>
        <w:tc>
          <w:tcPr>
            <w:tcW w:w="2268" w:type="dxa"/>
            <w:gridSpan w:val="3"/>
            <w:vAlign w:val="center"/>
          </w:tcPr>
          <w:p w:rsidR="00894BBF" w:rsidRDefault="00894BBF" w:rsidP="00894BBF">
            <w:pPr>
              <w:spacing w:beforeLines="50" w:before="156" w:afterLines="50" w:after="156" w:line="440" w:lineRule="exact"/>
              <w:jc w:val="center"/>
              <w:rPr>
                <w:rFonts w:ascii="仿宋" w:eastAsia="仿宋" w:hAnsi="仿宋"/>
                <w:sz w:val="32"/>
                <w:szCs w:val="32"/>
              </w:rPr>
            </w:pPr>
            <w:r>
              <w:rPr>
                <w:rFonts w:ascii="仿宋" w:eastAsia="仿宋" w:hAnsi="仿宋" w:hint="eastAsia"/>
                <w:sz w:val="32"/>
                <w:szCs w:val="32"/>
              </w:rPr>
              <w:t>整改完成时间</w:t>
            </w:r>
          </w:p>
        </w:tc>
        <w:tc>
          <w:tcPr>
            <w:tcW w:w="2410" w:type="dxa"/>
            <w:gridSpan w:val="2"/>
            <w:vAlign w:val="center"/>
          </w:tcPr>
          <w:p w:rsidR="00894BBF" w:rsidRDefault="00894BBF" w:rsidP="00894BBF">
            <w:pPr>
              <w:spacing w:beforeLines="50" w:before="156" w:afterLines="50" w:after="156" w:line="440" w:lineRule="exact"/>
              <w:ind w:firstLineChars="150" w:firstLine="480"/>
              <w:rPr>
                <w:rFonts w:ascii="仿宋" w:eastAsia="仿宋" w:hAnsi="仿宋"/>
                <w:sz w:val="32"/>
                <w:szCs w:val="32"/>
              </w:rPr>
            </w:pPr>
            <w:r>
              <w:rPr>
                <w:rFonts w:ascii="仿宋" w:eastAsia="仿宋" w:hAnsi="仿宋" w:hint="eastAsia"/>
                <w:sz w:val="32"/>
                <w:szCs w:val="32"/>
              </w:rPr>
              <w:t>年  月  日</w:t>
            </w:r>
          </w:p>
        </w:tc>
      </w:tr>
      <w:tr w:rsidR="00894BBF" w:rsidTr="00737ABA">
        <w:trPr>
          <w:trHeight w:val="907"/>
          <w:jc w:val="center"/>
        </w:trPr>
        <w:tc>
          <w:tcPr>
            <w:tcW w:w="1686" w:type="dxa"/>
            <w:vAlign w:val="center"/>
          </w:tcPr>
          <w:p w:rsidR="00894BBF" w:rsidRDefault="00894BBF" w:rsidP="00894BBF">
            <w:pPr>
              <w:spacing w:beforeLines="50" w:before="156" w:afterLines="50" w:after="156" w:line="440" w:lineRule="exact"/>
              <w:jc w:val="center"/>
              <w:rPr>
                <w:rFonts w:ascii="仿宋" w:eastAsia="仿宋" w:hAnsi="仿宋"/>
                <w:dstrike/>
                <w:sz w:val="32"/>
                <w:szCs w:val="32"/>
              </w:rPr>
            </w:pPr>
            <w:r>
              <w:rPr>
                <w:rFonts w:ascii="仿宋" w:eastAsia="仿宋" w:hAnsi="仿宋" w:hint="eastAsia"/>
                <w:sz w:val="32"/>
                <w:szCs w:val="32"/>
              </w:rPr>
              <w:t>单位名称</w:t>
            </w:r>
          </w:p>
        </w:tc>
        <w:tc>
          <w:tcPr>
            <w:tcW w:w="6590" w:type="dxa"/>
            <w:gridSpan w:val="7"/>
            <w:vAlign w:val="center"/>
          </w:tcPr>
          <w:p w:rsidR="00894BBF" w:rsidRDefault="00894BBF" w:rsidP="00894BBF">
            <w:pPr>
              <w:spacing w:beforeLines="50" w:before="156" w:afterLines="50" w:after="156" w:line="440" w:lineRule="exact"/>
              <w:jc w:val="center"/>
              <w:rPr>
                <w:rFonts w:ascii="仿宋" w:eastAsia="仿宋" w:hAnsi="仿宋"/>
                <w:dstrike/>
                <w:sz w:val="32"/>
                <w:szCs w:val="32"/>
              </w:rPr>
            </w:pPr>
          </w:p>
        </w:tc>
      </w:tr>
      <w:tr w:rsidR="00894BBF" w:rsidTr="00737ABA">
        <w:trPr>
          <w:trHeight w:val="2176"/>
          <w:jc w:val="center"/>
        </w:trPr>
        <w:tc>
          <w:tcPr>
            <w:tcW w:w="1686" w:type="dxa"/>
            <w:vAlign w:val="center"/>
          </w:tcPr>
          <w:p w:rsidR="00894BBF" w:rsidRDefault="00894BBF" w:rsidP="00894BBF">
            <w:pPr>
              <w:spacing w:beforeLines="100" w:before="312" w:afterLines="100" w:after="312" w:line="280" w:lineRule="exact"/>
              <w:jc w:val="center"/>
              <w:rPr>
                <w:rFonts w:ascii="仿宋" w:eastAsia="仿宋" w:hAnsi="仿宋"/>
                <w:sz w:val="32"/>
                <w:szCs w:val="32"/>
              </w:rPr>
            </w:pPr>
            <w:r>
              <w:rPr>
                <w:rFonts w:ascii="仿宋" w:eastAsia="仿宋" w:hAnsi="仿宋" w:hint="eastAsia"/>
                <w:sz w:val="32"/>
                <w:szCs w:val="32"/>
              </w:rPr>
              <w:t>整改情况</w:t>
            </w:r>
          </w:p>
        </w:tc>
        <w:tc>
          <w:tcPr>
            <w:tcW w:w="6590" w:type="dxa"/>
            <w:gridSpan w:val="7"/>
            <w:vAlign w:val="center"/>
          </w:tcPr>
          <w:p w:rsidR="00894BBF" w:rsidRDefault="00894BBF" w:rsidP="00894BBF">
            <w:pPr>
              <w:spacing w:beforeLines="100" w:before="312" w:afterLines="100" w:after="312" w:line="280" w:lineRule="exact"/>
              <w:jc w:val="center"/>
              <w:rPr>
                <w:rFonts w:ascii="仿宋" w:eastAsia="仿宋" w:hAnsi="仿宋"/>
                <w:sz w:val="32"/>
                <w:szCs w:val="32"/>
              </w:rPr>
            </w:pPr>
          </w:p>
          <w:p w:rsidR="00894BBF" w:rsidRDefault="00894BBF" w:rsidP="00894BBF">
            <w:pPr>
              <w:spacing w:beforeLines="100" w:before="312" w:afterLines="100" w:after="312" w:line="280" w:lineRule="exact"/>
              <w:rPr>
                <w:rFonts w:ascii="仿宋" w:eastAsia="仿宋" w:hAnsi="仿宋" w:hint="eastAsia"/>
                <w:sz w:val="32"/>
                <w:szCs w:val="32"/>
              </w:rPr>
            </w:pPr>
          </w:p>
          <w:p w:rsidR="00894BBF" w:rsidRDefault="00894BBF" w:rsidP="00894BBF">
            <w:pPr>
              <w:spacing w:beforeLines="100" w:before="312" w:afterLines="100" w:after="312" w:line="280" w:lineRule="exact"/>
              <w:rPr>
                <w:rFonts w:ascii="仿宋" w:eastAsia="仿宋" w:hAnsi="仿宋"/>
                <w:sz w:val="32"/>
                <w:szCs w:val="32"/>
              </w:rPr>
            </w:pPr>
          </w:p>
        </w:tc>
      </w:tr>
      <w:tr w:rsidR="00894BBF" w:rsidTr="00737ABA">
        <w:trPr>
          <w:trHeight w:val="2127"/>
          <w:jc w:val="center"/>
        </w:trPr>
        <w:tc>
          <w:tcPr>
            <w:tcW w:w="1686" w:type="dxa"/>
            <w:vAlign w:val="center"/>
          </w:tcPr>
          <w:p w:rsidR="00894BBF" w:rsidRDefault="00894BBF" w:rsidP="00894BBF">
            <w:pPr>
              <w:spacing w:beforeLines="100" w:before="312" w:afterLines="100" w:after="312" w:line="280" w:lineRule="exact"/>
              <w:jc w:val="center"/>
              <w:rPr>
                <w:rFonts w:ascii="仿宋" w:eastAsia="仿宋" w:hAnsi="仿宋"/>
                <w:sz w:val="32"/>
                <w:szCs w:val="32"/>
              </w:rPr>
            </w:pPr>
            <w:r>
              <w:rPr>
                <w:rFonts w:ascii="仿宋" w:eastAsia="仿宋" w:hAnsi="仿宋" w:hint="eastAsia"/>
                <w:sz w:val="32"/>
                <w:szCs w:val="32"/>
              </w:rPr>
              <w:t>整改结果</w:t>
            </w:r>
          </w:p>
        </w:tc>
        <w:tc>
          <w:tcPr>
            <w:tcW w:w="6590" w:type="dxa"/>
            <w:gridSpan w:val="7"/>
            <w:vAlign w:val="center"/>
          </w:tcPr>
          <w:p w:rsidR="00894BBF" w:rsidRDefault="00894BBF" w:rsidP="00894BBF">
            <w:pPr>
              <w:spacing w:beforeLines="100" w:before="312" w:afterLines="100" w:after="312" w:line="280" w:lineRule="exact"/>
              <w:jc w:val="center"/>
              <w:rPr>
                <w:rFonts w:ascii="仿宋" w:eastAsia="仿宋" w:hAnsi="仿宋"/>
                <w:sz w:val="32"/>
                <w:szCs w:val="32"/>
              </w:rPr>
            </w:pPr>
          </w:p>
          <w:p w:rsidR="00894BBF" w:rsidRDefault="00894BBF" w:rsidP="00894BBF">
            <w:pPr>
              <w:spacing w:beforeLines="100" w:before="312" w:afterLines="100" w:after="312" w:line="280" w:lineRule="exact"/>
              <w:rPr>
                <w:rFonts w:ascii="仿宋" w:eastAsia="仿宋" w:hAnsi="仿宋"/>
                <w:sz w:val="32"/>
                <w:szCs w:val="32"/>
              </w:rPr>
            </w:pPr>
          </w:p>
        </w:tc>
      </w:tr>
      <w:tr w:rsidR="00894BBF" w:rsidTr="00737ABA">
        <w:trPr>
          <w:cantSplit/>
          <w:trHeight w:val="1701"/>
          <w:jc w:val="center"/>
        </w:trPr>
        <w:tc>
          <w:tcPr>
            <w:tcW w:w="1686" w:type="dxa"/>
            <w:vAlign w:val="center"/>
          </w:tcPr>
          <w:p w:rsidR="00894BBF" w:rsidRDefault="00894BBF" w:rsidP="00894BBF">
            <w:pPr>
              <w:spacing w:beforeLines="100" w:before="312" w:afterLines="100" w:after="312" w:line="280" w:lineRule="exact"/>
              <w:ind w:leftChars="-50" w:left="-105" w:rightChars="-50" w:right="-105"/>
              <w:jc w:val="center"/>
              <w:rPr>
                <w:rFonts w:ascii="仿宋" w:eastAsia="仿宋" w:hAnsi="仿宋"/>
                <w:sz w:val="32"/>
                <w:szCs w:val="32"/>
              </w:rPr>
            </w:pPr>
            <w:r>
              <w:rPr>
                <w:rFonts w:ascii="仿宋" w:eastAsia="仿宋" w:hAnsi="仿宋" w:hint="eastAsia"/>
                <w:sz w:val="32"/>
                <w:szCs w:val="32"/>
              </w:rPr>
              <w:t>整改负责人</w:t>
            </w:r>
          </w:p>
        </w:tc>
        <w:tc>
          <w:tcPr>
            <w:tcW w:w="1345" w:type="dxa"/>
            <w:vAlign w:val="center"/>
          </w:tcPr>
          <w:p w:rsidR="00894BBF" w:rsidRDefault="00894BBF" w:rsidP="00894BBF">
            <w:pPr>
              <w:spacing w:beforeLines="100" w:before="312" w:afterLines="100" w:after="312" w:line="280" w:lineRule="exact"/>
              <w:jc w:val="center"/>
              <w:rPr>
                <w:rFonts w:ascii="仿宋" w:eastAsia="仿宋" w:hAnsi="仿宋"/>
                <w:sz w:val="32"/>
                <w:szCs w:val="32"/>
              </w:rPr>
            </w:pPr>
          </w:p>
        </w:tc>
        <w:tc>
          <w:tcPr>
            <w:tcW w:w="1276" w:type="dxa"/>
            <w:gridSpan w:val="2"/>
            <w:vAlign w:val="center"/>
          </w:tcPr>
          <w:p w:rsidR="00894BBF" w:rsidRDefault="00894BBF" w:rsidP="00894BBF">
            <w:pPr>
              <w:spacing w:beforeLines="100" w:before="312" w:afterLines="100" w:after="312" w:line="280" w:lineRule="exact"/>
              <w:jc w:val="center"/>
              <w:rPr>
                <w:rFonts w:ascii="仿宋" w:eastAsia="仿宋" w:hAnsi="仿宋"/>
                <w:sz w:val="32"/>
                <w:szCs w:val="32"/>
              </w:rPr>
            </w:pPr>
            <w:r>
              <w:rPr>
                <w:rFonts w:ascii="仿宋" w:eastAsia="仿宋" w:hAnsi="仿宋" w:hint="eastAsia"/>
                <w:sz w:val="32"/>
                <w:szCs w:val="32"/>
              </w:rPr>
              <w:t>验收人</w:t>
            </w:r>
          </w:p>
        </w:tc>
        <w:tc>
          <w:tcPr>
            <w:tcW w:w="1442" w:type="dxa"/>
            <w:vAlign w:val="center"/>
          </w:tcPr>
          <w:p w:rsidR="00894BBF" w:rsidRDefault="00894BBF" w:rsidP="00894BBF">
            <w:pPr>
              <w:spacing w:beforeLines="100" w:before="312" w:afterLines="100" w:after="312" w:line="280" w:lineRule="exact"/>
              <w:jc w:val="center"/>
              <w:rPr>
                <w:rFonts w:ascii="仿宋" w:eastAsia="仿宋" w:hAnsi="仿宋"/>
                <w:sz w:val="32"/>
                <w:szCs w:val="32"/>
              </w:rPr>
            </w:pPr>
          </w:p>
        </w:tc>
        <w:tc>
          <w:tcPr>
            <w:tcW w:w="1408" w:type="dxa"/>
            <w:gridSpan w:val="2"/>
            <w:vAlign w:val="center"/>
          </w:tcPr>
          <w:p w:rsidR="00894BBF" w:rsidRDefault="00894BBF" w:rsidP="00894BBF">
            <w:pPr>
              <w:spacing w:beforeLines="100" w:before="312" w:afterLines="100" w:after="312" w:line="280" w:lineRule="exact"/>
              <w:jc w:val="center"/>
              <w:rPr>
                <w:rFonts w:ascii="仿宋" w:eastAsia="仿宋" w:hAnsi="仿宋"/>
                <w:sz w:val="32"/>
                <w:szCs w:val="32"/>
              </w:rPr>
            </w:pPr>
            <w:r>
              <w:rPr>
                <w:rFonts w:ascii="仿宋" w:eastAsia="仿宋" w:hAnsi="仿宋" w:hint="eastAsia"/>
                <w:sz w:val="32"/>
                <w:szCs w:val="32"/>
              </w:rPr>
              <w:t>签发人</w:t>
            </w:r>
          </w:p>
          <w:p w:rsidR="00894BBF" w:rsidRDefault="00894BBF" w:rsidP="00894BBF">
            <w:pPr>
              <w:spacing w:beforeLines="100" w:before="312" w:afterLines="100" w:after="312" w:line="280" w:lineRule="exact"/>
              <w:jc w:val="center"/>
              <w:rPr>
                <w:rFonts w:ascii="仿宋" w:eastAsia="仿宋" w:hAnsi="仿宋"/>
                <w:sz w:val="32"/>
                <w:szCs w:val="32"/>
              </w:rPr>
            </w:pPr>
            <w:r>
              <w:rPr>
                <w:rFonts w:ascii="仿宋" w:eastAsia="仿宋" w:hAnsi="仿宋" w:hint="eastAsia"/>
                <w:sz w:val="32"/>
                <w:szCs w:val="32"/>
              </w:rPr>
              <w:t>（单位公章）</w:t>
            </w:r>
          </w:p>
        </w:tc>
        <w:tc>
          <w:tcPr>
            <w:tcW w:w="1119" w:type="dxa"/>
            <w:vAlign w:val="center"/>
          </w:tcPr>
          <w:p w:rsidR="00894BBF" w:rsidRDefault="00894BBF" w:rsidP="00894BBF">
            <w:pPr>
              <w:spacing w:beforeLines="100" w:before="312" w:afterLines="100" w:after="312" w:line="280" w:lineRule="exact"/>
              <w:jc w:val="center"/>
              <w:rPr>
                <w:rFonts w:ascii="仿宋" w:eastAsia="仿宋" w:hAnsi="仿宋"/>
                <w:sz w:val="32"/>
                <w:szCs w:val="32"/>
              </w:rPr>
            </w:pPr>
          </w:p>
        </w:tc>
      </w:tr>
      <w:tr w:rsidR="00894BBF" w:rsidTr="00737ABA">
        <w:trPr>
          <w:cantSplit/>
          <w:trHeight w:val="2204"/>
          <w:jc w:val="center"/>
        </w:trPr>
        <w:tc>
          <w:tcPr>
            <w:tcW w:w="3031" w:type="dxa"/>
            <w:gridSpan w:val="2"/>
            <w:vAlign w:val="center"/>
          </w:tcPr>
          <w:p w:rsidR="00894BBF" w:rsidRDefault="00894BBF" w:rsidP="00737ABA">
            <w:pPr>
              <w:spacing w:line="560" w:lineRule="exact"/>
              <w:jc w:val="center"/>
              <w:rPr>
                <w:rFonts w:ascii="仿宋" w:eastAsia="仿宋" w:hAnsi="仿宋"/>
                <w:sz w:val="28"/>
                <w:szCs w:val="32"/>
              </w:rPr>
            </w:pPr>
            <w:r>
              <w:rPr>
                <w:rFonts w:ascii="仿宋" w:eastAsia="仿宋" w:hAnsi="仿宋" w:hint="eastAsia"/>
                <w:sz w:val="28"/>
                <w:szCs w:val="32"/>
              </w:rPr>
              <w:lastRenderedPageBreak/>
              <w:t>内蒙古电力技术监督检测中心验收意见</w:t>
            </w:r>
          </w:p>
        </w:tc>
        <w:tc>
          <w:tcPr>
            <w:tcW w:w="5245" w:type="dxa"/>
            <w:gridSpan w:val="6"/>
            <w:vAlign w:val="center"/>
          </w:tcPr>
          <w:p w:rsidR="00894BBF" w:rsidRDefault="00894BBF" w:rsidP="00737ABA">
            <w:pPr>
              <w:widowControl/>
              <w:jc w:val="left"/>
              <w:rPr>
                <w:rFonts w:ascii="仿宋" w:eastAsia="仿宋" w:hAnsi="仿宋"/>
                <w:sz w:val="32"/>
                <w:szCs w:val="32"/>
              </w:rPr>
            </w:pPr>
          </w:p>
          <w:p w:rsidR="00894BBF" w:rsidRDefault="00894BBF" w:rsidP="00894BBF">
            <w:pPr>
              <w:spacing w:beforeLines="100" w:before="312" w:afterLines="100" w:after="312" w:line="280" w:lineRule="exact"/>
              <w:jc w:val="center"/>
              <w:rPr>
                <w:rFonts w:ascii="仿宋" w:eastAsia="仿宋" w:hAnsi="仿宋"/>
                <w:sz w:val="32"/>
                <w:szCs w:val="32"/>
              </w:rPr>
            </w:pPr>
          </w:p>
        </w:tc>
      </w:tr>
    </w:tbl>
    <w:p w:rsidR="004B5362" w:rsidRPr="00894BBF" w:rsidRDefault="004B5362">
      <w:bookmarkStart w:id="0" w:name="_GoBack"/>
      <w:bookmarkEnd w:id="0"/>
    </w:p>
    <w:sectPr w:rsidR="004B5362" w:rsidRPr="00894B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BBF"/>
    <w:rsid w:val="004B5362"/>
    <w:rsid w:val="00894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BB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94BBF"/>
    <w:pPr>
      <w:ind w:firstLineChars="200" w:firstLine="420"/>
    </w:pPr>
    <w:rPr>
      <w:rFonts w:cs="Calibri"/>
      <w:szCs w:val="21"/>
    </w:rPr>
  </w:style>
  <w:style w:type="paragraph" w:customStyle="1" w:styleId="Default">
    <w:name w:val="Default"/>
    <w:basedOn w:val="a"/>
    <w:rsid w:val="00894BBF"/>
    <w:pPr>
      <w:autoSpaceDE w:val="0"/>
      <w:autoSpaceDN w:val="0"/>
      <w:adjustRightInd w:val="0"/>
      <w:jc w:val="left"/>
    </w:pPr>
    <w:rPr>
      <w:rFonts w:ascii="宋体" w:hAnsi="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BB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94BBF"/>
    <w:pPr>
      <w:ind w:firstLineChars="200" w:firstLine="420"/>
    </w:pPr>
    <w:rPr>
      <w:rFonts w:cs="Calibri"/>
      <w:szCs w:val="21"/>
    </w:rPr>
  </w:style>
  <w:style w:type="paragraph" w:customStyle="1" w:styleId="Default">
    <w:name w:val="Default"/>
    <w:basedOn w:val="a"/>
    <w:rsid w:val="00894BBF"/>
    <w:pPr>
      <w:autoSpaceDE w:val="0"/>
      <w:autoSpaceDN w:val="0"/>
      <w:adjustRightInd w:val="0"/>
      <w:jc w:val="left"/>
    </w:pPr>
    <w:rPr>
      <w:rFonts w:ascii="宋体"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1177</Words>
  <Characters>6710</Characters>
  <Application>Microsoft Office Word</Application>
  <DocSecurity>0</DocSecurity>
  <Lines>55</Lines>
  <Paragraphs>15</Paragraphs>
  <ScaleCrop>false</ScaleCrop>
  <Company>Lenovo</Company>
  <LinksUpToDate>false</LinksUpToDate>
  <CharactersWithSpaces>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韩艳华</dc:creator>
  <cp:lastModifiedBy>韩艳华</cp:lastModifiedBy>
  <cp:revision>1</cp:revision>
  <dcterms:created xsi:type="dcterms:W3CDTF">2018-06-13T03:35:00Z</dcterms:created>
  <dcterms:modified xsi:type="dcterms:W3CDTF">2018-06-13T03:35:00Z</dcterms:modified>
</cp:coreProperties>
</file>